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A9A" w14:textId="03C8CC80" w:rsidR="00D42D4A" w:rsidRDefault="00D42D4A" w:rsidP="004F4D31">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ABOUT THE COMPANY</w:t>
      </w:r>
    </w:p>
    <w:p w14:paraId="7F3DEE47" w14:textId="77777777" w:rsidR="00126428" w:rsidRPr="0073316C" w:rsidRDefault="00126428" w:rsidP="004F4D31">
      <w:pPr>
        <w:pStyle w:val="BodyText"/>
        <w:spacing w:before="3"/>
        <w:rPr>
          <w:rFonts w:asciiTheme="minorHAnsi" w:hAnsiTheme="minorHAnsi" w:cstheme="minorHAnsi"/>
          <w:b/>
          <w:color w:val="7091A4" w:themeColor="accent2"/>
          <w:spacing w:val="-3"/>
          <w:szCs w:val="24"/>
        </w:rPr>
      </w:pPr>
    </w:p>
    <w:p w14:paraId="1E2BDD94" w14:textId="2170E80D" w:rsidR="00F62A5A" w:rsidRPr="0073316C" w:rsidRDefault="004F4D31" w:rsidP="004F4D31">
      <w:pPr>
        <w:pStyle w:val="NormalWeb"/>
        <w:shd w:val="clear" w:color="auto" w:fill="FFFFFF"/>
        <w:spacing w:before="0" w:beforeAutospacing="0" w:after="225" w:afterAutospacing="0"/>
        <w:rPr>
          <w:rFonts w:asciiTheme="minorHAnsi" w:hAnsiTheme="minorHAnsi" w:cstheme="minorHAnsi"/>
          <w:sz w:val="22"/>
          <w:szCs w:val="22"/>
        </w:rPr>
      </w:pPr>
      <w:r w:rsidRPr="0073316C">
        <w:rPr>
          <w:rFonts w:asciiTheme="minorHAnsi" w:hAnsiTheme="minorHAnsi" w:cstheme="minorHAnsi"/>
          <w:sz w:val="22"/>
          <w:szCs w:val="22"/>
        </w:rPr>
        <w:t xml:space="preserve">Phoenix Contact's roots are in Germany. Our headquarters are in Blomberg. Originally founded in Essen in 1923, we have grown over the years. With over 50 subsidiaries worldwide, we truly have Global reach. Together with customers and partners, we design solutions for the future using trend-setting connection and automation technology. Wherever they are needed - for example, in transportation infrastructure, electromobility, for clean water, regenerative energies and intelligent supply networks, or energy-efficient machine building and systems manufacturing. We face up to technological developments and the associated changes in society. With </w:t>
      </w:r>
      <w:r w:rsidR="001819B0" w:rsidRPr="0073316C">
        <w:rPr>
          <w:rFonts w:asciiTheme="minorHAnsi" w:hAnsiTheme="minorHAnsi" w:cstheme="minorHAnsi"/>
          <w:sz w:val="22"/>
          <w:szCs w:val="22"/>
        </w:rPr>
        <w:t>more than</w:t>
      </w:r>
      <w:r w:rsidRPr="0073316C">
        <w:rPr>
          <w:rFonts w:asciiTheme="minorHAnsi" w:hAnsiTheme="minorHAnsi" w:cstheme="minorHAnsi"/>
          <w:sz w:val="22"/>
          <w:szCs w:val="22"/>
        </w:rPr>
        <w:t xml:space="preserve"> 100 years of experience in the field of machine building and automation, we are working on tomorrow's intelligent production today.</w:t>
      </w:r>
    </w:p>
    <w:p w14:paraId="009B186F" w14:textId="72C749D5" w:rsidR="00B0241A" w:rsidRDefault="00D42D4A" w:rsidP="00D42D4A">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DESCRIPTION</w:t>
      </w:r>
    </w:p>
    <w:p w14:paraId="28930EE7" w14:textId="77777777" w:rsidR="00126428" w:rsidRPr="0073316C" w:rsidRDefault="00126428" w:rsidP="00D42D4A">
      <w:pPr>
        <w:pStyle w:val="BodyText"/>
        <w:spacing w:before="3"/>
        <w:rPr>
          <w:rFonts w:asciiTheme="minorHAnsi" w:hAnsiTheme="minorHAnsi" w:cstheme="minorHAnsi"/>
          <w:b/>
          <w:color w:val="7091A4" w:themeColor="accent2"/>
          <w:spacing w:val="-3"/>
          <w:szCs w:val="24"/>
        </w:rPr>
      </w:pPr>
    </w:p>
    <w:p w14:paraId="4D9F8C60" w14:textId="77777777" w:rsidR="002F2F41" w:rsidRPr="0097157B" w:rsidRDefault="002F2F41" w:rsidP="0097157B">
      <w:p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In this key leadership role, you will guide the performance, development, and long</w:t>
      </w:r>
      <w:r w:rsidRPr="0097157B">
        <w:rPr>
          <w:rFonts w:ascii="Cambria Math" w:hAnsi="Cambria Math" w:cs="Cambria Math"/>
          <w:bCs/>
          <w:sz w:val="22"/>
          <w:szCs w:val="22"/>
        </w:rPr>
        <w:t>‑</w:t>
      </w:r>
      <w:r w:rsidRPr="0097157B">
        <w:rPr>
          <w:rFonts w:asciiTheme="minorHAnsi" w:hAnsiTheme="minorHAnsi" w:cstheme="minorHAnsi"/>
          <w:bCs/>
          <w:sz w:val="22"/>
          <w:szCs w:val="22"/>
        </w:rPr>
        <w:t>term success of Phoenix Contact’s channel partners. You’ll work closely with distributor management, sales teams, and internal stakeholders to drive revenue, expand market share, and elevate partner capabilities across our core technology areas — Automation, Connectivity, Cabinet Efficiency, and Power Reliability.</w:t>
      </w:r>
    </w:p>
    <w:p w14:paraId="7CD922FA" w14:textId="77777777" w:rsidR="002F2F41" w:rsidRPr="0097157B" w:rsidRDefault="002F2F41" w:rsidP="0097157B">
      <w:p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As the primary connection between Phoenix Contact and our distributors, you will champion collaboration, ensure alignment with national strategies, and help our partners deliver exceptional value to customers.</w:t>
      </w:r>
    </w:p>
    <w:p w14:paraId="798E2296" w14:textId="77777777" w:rsidR="000B0608" w:rsidRPr="002F2F41" w:rsidRDefault="000B0608" w:rsidP="006F6999">
      <w:pPr>
        <w:tabs>
          <w:tab w:val="left" w:pos="-720"/>
        </w:tabs>
        <w:suppressAutoHyphens/>
        <w:jc w:val="both"/>
        <w:rPr>
          <w:rFonts w:asciiTheme="minorHAnsi" w:hAnsiTheme="minorHAnsi" w:cstheme="minorHAnsi"/>
          <w:sz w:val="22"/>
          <w:szCs w:val="22"/>
          <w:lang w:eastAsia="en-CA"/>
        </w:rPr>
      </w:pPr>
    </w:p>
    <w:p w14:paraId="0D713352" w14:textId="7B8CCBAE" w:rsidR="000A0BED" w:rsidRPr="0073316C" w:rsidRDefault="00800135" w:rsidP="00B02C14">
      <w:pPr>
        <w:tabs>
          <w:tab w:val="left" w:pos="-720"/>
        </w:tabs>
        <w:suppressAutoHyphens/>
        <w:spacing w:after="120" w:line="276" w:lineRule="auto"/>
        <w:rPr>
          <w:rFonts w:asciiTheme="minorHAnsi" w:hAnsiTheme="minorHAnsi" w:cstheme="minorHAnsi"/>
          <w:b/>
          <w:color w:val="7091A4" w:themeColor="accent2"/>
          <w:spacing w:val="-3"/>
          <w:szCs w:val="24"/>
        </w:rPr>
      </w:pPr>
      <w:r w:rsidRPr="0073316C">
        <w:rPr>
          <w:rFonts w:asciiTheme="minorHAnsi" w:hAnsiTheme="minorHAnsi" w:cstheme="minorHAnsi"/>
          <w:color w:val="000000"/>
          <w:sz w:val="22"/>
          <w:szCs w:val="22"/>
          <w:lang w:eastAsia="en-CA"/>
        </w:rPr>
        <w:br/>
      </w:r>
      <w:r w:rsidR="003020B7" w:rsidRPr="0073316C">
        <w:rPr>
          <w:rFonts w:asciiTheme="minorHAnsi" w:hAnsiTheme="minorHAnsi" w:cstheme="minorHAnsi"/>
          <w:b/>
          <w:color w:val="7091A4" w:themeColor="accent2"/>
          <w:spacing w:val="-3"/>
          <w:szCs w:val="24"/>
        </w:rPr>
        <w:t xml:space="preserve">POSITION </w:t>
      </w:r>
      <w:r w:rsidR="00EE1327" w:rsidRPr="0073316C">
        <w:rPr>
          <w:rFonts w:asciiTheme="minorHAnsi" w:hAnsiTheme="minorHAnsi" w:cstheme="minorHAnsi"/>
          <w:b/>
          <w:color w:val="7091A4" w:themeColor="accent2"/>
          <w:spacing w:val="-3"/>
          <w:szCs w:val="24"/>
        </w:rPr>
        <w:t>RESPONSIBILITIES</w:t>
      </w:r>
    </w:p>
    <w:p w14:paraId="12760946" w14:textId="77777777"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Lead the development and execution of a regional channel strategy aligned with Phoenix Contact’s vision and business priorities.</w:t>
      </w:r>
    </w:p>
    <w:p w14:paraId="554E7D9F" w14:textId="37F1DAF0"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Strengthen distributor performance through coaching, competency development, and structured business planning.</w:t>
      </w:r>
    </w:p>
    <w:p w14:paraId="3F3629A2" w14:textId="478B6C20"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Drive Business Excellence initiatives, including marketing programs and Distributor Scorecard objectives.</w:t>
      </w:r>
    </w:p>
    <w:p w14:paraId="1BE802C5" w14:textId="234C2C02"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Conduct Quarterly Business Reviews (QBRs) with partners, ensuring clear action plans and consistent follow</w:t>
      </w:r>
      <w:r w:rsidRPr="0097157B">
        <w:rPr>
          <w:rFonts w:ascii="Cambria Math" w:hAnsi="Cambria Math" w:cs="Cambria Math"/>
          <w:bCs/>
          <w:sz w:val="22"/>
          <w:szCs w:val="22"/>
        </w:rPr>
        <w:t>‑</w:t>
      </w:r>
      <w:r w:rsidRPr="0097157B">
        <w:rPr>
          <w:rFonts w:asciiTheme="minorHAnsi" w:hAnsiTheme="minorHAnsi" w:cstheme="minorHAnsi"/>
          <w:bCs/>
          <w:sz w:val="22"/>
          <w:szCs w:val="22"/>
        </w:rPr>
        <w:t>through.</w:t>
      </w:r>
    </w:p>
    <w:p w14:paraId="2EBF0E05" w14:textId="2DB71D2F"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Manage the Target Account Process (TAP) to support sales in converting competitive opportunities and grow strategic accounts.</w:t>
      </w:r>
    </w:p>
    <w:p w14:paraId="7289901C" w14:textId="737EEBE5"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Collaborate with Channel Director, Sales Directors, Marketing, Operations, and technical teams to equip partners with the tools, training, and resources they need to succeed.</w:t>
      </w:r>
    </w:p>
    <w:p w14:paraId="226A6827" w14:textId="6AFFF178"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Ensure accurate CRM usage for opportunity management, forecasting, and communication.</w:t>
      </w:r>
    </w:p>
    <w:p w14:paraId="672A5BE2" w14:textId="3BB33226"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Represent Phoenix Contact at distributor events, trade activities, and customer engagements across the region.</w:t>
      </w:r>
    </w:p>
    <w:p w14:paraId="5F13E463" w14:textId="6F8BB08A"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Maintain strong knowledge of Phoenix Contact products, solutions, and applications.</w:t>
      </w:r>
    </w:p>
    <w:p w14:paraId="192D8A66" w14:textId="2ABB5D01"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Support and grow business with certified Solution Partners.</w:t>
      </w:r>
    </w:p>
    <w:p w14:paraId="02ECCCF1" w14:textId="77777777" w:rsidR="003656EE" w:rsidRDefault="003656EE" w:rsidP="00664C2F">
      <w:pPr>
        <w:tabs>
          <w:tab w:val="left" w:pos="-720"/>
        </w:tabs>
        <w:suppressAutoHyphens/>
        <w:spacing w:after="120"/>
        <w:rPr>
          <w:rFonts w:asciiTheme="minorHAnsi" w:hAnsiTheme="minorHAnsi" w:cstheme="minorHAnsi"/>
          <w:bCs/>
          <w:sz w:val="22"/>
          <w:szCs w:val="22"/>
        </w:rPr>
      </w:pPr>
    </w:p>
    <w:p w14:paraId="7D72996E" w14:textId="77777777" w:rsidR="00664C2F" w:rsidRDefault="00664C2F" w:rsidP="00664C2F">
      <w:pPr>
        <w:tabs>
          <w:tab w:val="left" w:pos="-720"/>
        </w:tabs>
        <w:suppressAutoHyphens/>
        <w:spacing w:after="120"/>
        <w:rPr>
          <w:rFonts w:asciiTheme="minorHAnsi" w:hAnsiTheme="minorHAnsi" w:cstheme="minorHAnsi"/>
          <w:bCs/>
          <w:sz w:val="22"/>
          <w:szCs w:val="22"/>
        </w:rPr>
      </w:pPr>
    </w:p>
    <w:p w14:paraId="165407AE" w14:textId="77777777" w:rsidR="00664C2F" w:rsidRPr="00664C2F" w:rsidRDefault="00664C2F" w:rsidP="00664C2F">
      <w:pPr>
        <w:tabs>
          <w:tab w:val="left" w:pos="-720"/>
        </w:tabs>
        <w:suppressAutoHyphens/>
        <w:spacing w:after="120"/>
        <w:rPr>
          <w:rFonts w:asciiTheme="minorHAnsi" w:hAnsiTheme="minorHAnsi" w:cstheme="minorHAnsi"/>
          <w:bCs/>
          <w:sz w:val="22"/>
          <w:szCs w:val="22"/>
        </w:rPr>
      </w:pPr>
    </w:p>
    <w:p w14:paraId="5E979386" w14:textId="1F07F259" w:rsidR="00E06045" w:rsidRPr="00664C2F" w:rsidRDefault="00EE1327" w:rsidP="00664C2F">
      <w:pPr>
        <w:tabs>
          <w:tab w:val="left" w:pos="-720"/>
        </w:tabs>
        <w:suppressAutoHyphens/>
        <w:spacing w:after="120"/>
        <w:rPr>
          <w:rFonts w:asciiTheme="minorHAnsi" w:hAnsiTheme="minorHAnsi" w:cstheme="minorHAnsi"/>
          <w:b/>
          <w:color w:val="7091A4" w:themeColor="accent2"/>
          <w:spacing w:val="-3"/>
          <w:szCs w:val="24"/>
        </w:rPr>
      </w:pPr>
      <w:r w:rsidRPr="00664C2F">
        <w:rPr>
          <w:rFonts w:asciiTheme="minorHAnsi" w:hAnsiTheme="minorHAnsi" w:cstheme="minorHAnsi"/>
          <w:b/>
          <w:color w:val="7091A4" w:themeColor="accent2"/>
          <w:spacing w:val="-3"/>
          <w:szCs w:val="24"/>
        </w:rPr>
        <w:t>QUALIFICATION REQUIREMENTS</w:t>
      </w:r>
    </w:p>
    <w:p w14:paraId="59900D51" w14:textId="77777777" w:rsidR="006827FE" w:rsidRPr="0097157B" w:rsidRDefault="006827FE"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Bachelor’s degree or Technical Diploma in Business, Engineering, or a related field.</w:t>
      </w:r>
    </w:p>
    <w:p w14:paraId="5127C618" w14:textId="77777777" w:rsidR="006827FE" w:rsidRPr="0097157B" w:rsidRDefault="006827FE"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Experience working with industrial distribution — a must for success in this role.</w:t>
      </w:r>
    </w:p>
    <w:p w14:paraId="3B0372FA" w14:textId="77777777" w:rsidR="006827FE" w:rsidRPr="0097157B" w:rsidRDefault="006827FE"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Strong commercial acumen with skills in market analysis, budgeting, and strategic execution.</w:t>
      </w:r>
    </w:p>
    <w:p w14:paraId="1AF6232D" w14:textId="77777777" w:rsidR="006827FE" w:rsidRPr="0097157B" w:rsidRDefault="006827FE"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Proficiency with CRM systems and Microsoft Office Suite.</w:t>
      </w:r>
    </w:p>
    <w:p w14:paraId="6B868D84" w14:textId="77777777" w:rsidR="006827FE" w:rsidRPr="0097157B" w:rsidRDefault="006827FE"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Excellent communication, presentation, and relationship</w:t>
      </w:r>
      <w:r w:rsidRPr="0097157B">
        <w:rPr>
          <w:rFonts w:ascii="Cambria Math" w:hAnsi="Cambria Math" w:cs="Cambria Math"/>
          <w:bCs/>
          <w:sz w:val="22"/>
          <w:szCs w:val="22"/>
        </w:rPr>
        <w:t>‑</w:t>
      </w:r>
      <w:r w:rsidRPr="0097157B">
        <w:rPr>
          <w:rFonts w:asciiTheme="minorHAnsi" w:hAnsiTheme="minorHAnsi" w:cstheme="minorHAnsi"/>
          <w:bCs/>
          <w:sz w:val="22"/>
          <w:szCs w:val="22"/>
        </w:rPr>
        <w:t>building abilities.</w:t>
      </w:r>
    </w:p>
    <w:p w14:paraId="01FA422A" w14:textId="77777777" w:rsidR="006827FE" w:rsidRPr="0097157B" w:rsidRDefault="006827FE"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Proven success collaborating across sales, product, and technical teams.</w:t>
      </w:r>
    </w:p>
    <w:p w14:paraId="27E193E1" w14:textId="77777777" w:rsidR="006827FE" w:rsidRPr="0097157B" w:rsidRDefault="006827FE"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Ability to thrive in a fast</w:t>
      </w:r>
      <w:r w:rsidRPr="0097157B">
        <w:rPr>
          <w:rFonts w:ascii="Cambria Math" w:hAnsi="Cambria Math" w:cs="Cambria Math"/>
          <w:bCs/>
          <w:sz w:val="22"/>
          <w:szCs w:val="22"/>
        </w:rPr>
        <w:t>‑</w:t>
      </w:r>
      <w:r w:rsidRPr="0097157B">
        <w:rPr>
          <w:rFonts w:asciiTheme="minorHAnsi" w:hAnsiTheme="minorHAnsi" w:cstheme="minorHAnsi"/>
          <w:bCs/>
          <w:sz w:val="22"/>
          <w:szCs w:val="22"/>
        </w:rPr>
        <w:t>paced environment and manage multiple priorities with confidence.</w:t>
      </w:r>
    </w:p>
    <w:p w14:paraId="1EC07758" w14:textId="59E7ACEB" w:rsidR="006827FE" w:rsidRPr="0097157B" w:rsidRDefault="006827FE"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Fluent in French and English to support Quebec and Maritimes regions.</w:t>
      </w:r>
    </w:p>
    <w:p w14:paraId="0C1605B5" w14:textId="77777777" w:rsidR="003656EE" w:rsidRPr="006827FE" w:rsidRDefault="003656EE" w:rsidP="003656EE">
      <w:pPr>
        <w:pStyle w:val="ListParagraph"/>
        <w:widowControl w:val="0"/>
        <w:suppressAutoHyphens/>
        <w:overflowPunct w:val="0"/>
        <w:autoSpaceDE w:val="0"/>
        <w:autoSpaceDN w:val="0"/>
        <w:adjustRightInd w:val="0"/>
        <w:spacing w:after="120"/>
        <w:ind w:left="1080"/>
        <w:textAlignment w:val="baseline"/>
        <w:rPr>
          <w:rFonts w:asciiTheme="minorHAnsi" w:hAnsiTheme="minorHAnsi" w:cstheme="minorHAnsi"/>
          <w:spacing w:val="-3"/>
          <w:sz w:val="22"/>
          <w:szCs w:val="22"/>
        </w:rPr>
      </w:pPr>
    </w:p>
    <w:p w14:paraId="392A506D" w14:textId="36E1CD0F" w:rsidR="0004317B" w:rsidRPr="00664C2F" w:rsidRDefault="000612DA" w:rsidP="0004317B">
      <w:pPr>
        <w:tabs>
          <w:tab w:val="left" w:pos="-720"/>
        </w:tabs>
        <w:suppressAutoHyphens/>
        <w:spacing w:after="120"/>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ESSENTIAL JOB REQUIREMENTS</w:t>
      </w:r>
    </w:p>
    <w:p w14:paraId="3F95666D" w14:textId="77777777" w:rsidR="0004317B" w:rsidRPr="0097157B" w:rsidRDefault="0004317B" w:rsidP="000431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Regular regional travel, including overnight trips.</w:t>
      </w:r>
    </w:p>
    <w:p w14:paraId="360CE5F7" w14:textId="77777777" w:rsidR="0004317B" w:rsidRPr="0097157B" w:rsidRDefault="0004317B" w:rsidP="000431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Valid driver’s license and ability to operate a vehicle for extended periods.</w:t>
      </w:r>
    </w:p>
    <w:p w14:paraId="58D2C784" w14:textId="2C14D3C5" w:rsidR="0004317B" w:rsidRPr="0097157B" w:rsidRDefault="0004317B" w:rsidP="000431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Participation in regional, national, and international meetings as required.</w:t>
      </w:r>
    </w:p>
    <w:p w14:paraId="1C6B998D" w14:textId="77777777" w:rsidR="006F23C4" w:rsidRPr="0004317B" w:rsidRDefault="006F23C4" w:rsidP="006F23C4">
      <w:pPr>
        <w:spacing w:line="276" w:lineRule="auto"/>
        <w:textAlignment w:val="baseline"/>
        <w:rPr>
          <w:rFonts w:ascii="Arial" w:hAnsi="Arial" w:cs="Arial"/>
          <w:sz w:val="22"/>
          <w:szCs w:val="22"/>
          <w:lang w:eastAsia="en-CA"/>
        </w:rPr>
      </w:pPr>
    </w:p>
    <w:p w14:paraId="499372B6" w14:textId="77777777" w:rsidR="00162BD9" w:rsidRPr="0073316C" w:rsidRDefault="00162BD9" w:rsidP="00AA3608">
      <w:pPr>
        <w:pStyle w:val="BodyText"/>
        <w:rPr>
          <w:rFonts w:asciiTheme="minorHAnsi" w:hAnsiTheme="minorHAnsi" w:cstheme="minorHAnsi"/>
          <w:bCs/>
          <w:sz w:val="22"/>
          <w:szCs w:val="22"/>
        </w:rPr>
      </w:pPr>
    </w:p>
    <w:p w14:paraId="6A78EA0B" w14:textId="3300A42E" w:rsidR="00AA3608" w:rsidRPr="0073316C" w:rsidRDefault="008B1299" w:rsidP="00AA3608">
      <w:pPr>
        <w:pStyle w:val="BodyText"/>
        <w:rPr>
          <w:rFonts w:asciiTheme="minorHAnsi" w:hAnsiTheme="minorHAnsi" w:cstheme="minorHAnsi"/>
          <w:bCs/>
          <w:sz w:val="22"/>
          <w:szCs w:val="22"/>
        </w:rPr>
      </w:pPr>
      <w:r w:rsidRPr="008B1299">
        <w:rPr>
          <w:rFonts w:asciiTheme="minorHAnsi" w:hAnsiTheme="minorHAnsi" w:cstheme="minorHAnsi"/>
          <w:bCs/>
          <w:sz w:val="22"/>
          <w:szCs w:val="22"/>
        </w:rPr>
        <w:t>We are offering an attractive remuneration package, including salary in the range of 100,000 to 1</w:t>
      </w:r>
      <w:r w:rsidR="00535649">
        <w:rPr>
          <w:rFonts w:asciiTheme="minorHAnsi" w:hAnsiTheme="minorHAnsi" w:cstheme="minorHAnsi"/>
          <w:bCs/>
          <w:sz w:val="22"/>
          <w:szCs w:val="22"/>
        </w:rPr>
        <w:t>20</w:t>
      </w:r>
      <w:r w:rsidRPr="008B1299">
        <w:rPr>
          <w:rFonts w:asciiTheme="minorHAnsi" w:hAnsiTheme="minorHAnsi" w:cstheme="minorHAnsi"/>
          <w:bCs/>
          <w:sz w:val="22"/>
          <w:szCs w:val="22"/>
        </w:rPr>
        <w:t>,000 annually, employee benefits and the opportunity to contribute to a fast-paced growing company with dynamic leadership and a history of growth and profitability</w:t>
      </w:r>
      <w:r w:rsidR="00AA3608" w:rsidRPr="0073316C">
        <w:rPr>
          <w:rFonts w:asciiTheme="minorHAnsi" w:hAnsiTheme="minorHAnsi" w:cstheme="minorHAnsi"/>
          <w:bCs/>
          <w:sz w:val="22"/>
          <w:szCs w:val="22"/>
        </w:rPr>
        <w:t xml:space="preserve">. </w:t>
      </w:r>
    </w:p>
    <w:p w14:paraId="0B47518C" w14:textId="44E13BAB" w:rsidR="00AA3608" w:rsidRDefault="00AA3608" w:rsidP="00AA3608">
      <w:pPr>
        <w:spacing w:after="120"/>
        <w:rPr>
          <w:rFonts w:asciiTheme="minorHAnsi" w:hAnsiTheme="minorHAnsi" w:cstheme="minorHAnsi"/>
          <w:b/>
          <w:sz w:val="22"/>
          <w:szCs w:val="22"/>
          <w:lang w:val="en-US"/>
        </w:rPr>
      </w:pPr>
      <w:r w:rsidRPr="0073316C">
        <w:rPr>
          <w:rFonts w:asciiTheme="minorHAnsi" w:hAnsiTheme="minorHAnsi" w:cstheme="minorHAnsi"/>
          <w:sz w:val="22"/>
          <w:szCs w:val="22"/>
        </w:rPr>
        <w:br/>
      </w:r>
      <w:r w:rsidRPr="0073316C">
        <w:rPr>
          <w:rFonts w:asciiTheme="minorHAnsi" w:hAnsiTheme="minorHAnsi" w:cstheme="minorHAnsi"/>
          <w:b/>
          <w:sz w:val="22"/>
          <w:szCs w:val="22"/>
          <w:lang w:val="en-US"/>
        </w:rPr>
        <w:t>Awarded one of Canada’s Best Workplaces, we recognize people as our most valuable resource. We are an equal opportunity employer.</w:t>
      </w:r>
    </w:p>
    <w:p w14:paraId="10993644" w14:textId="77777777" w:rsidR="00BB04F6" w:rsidRPr="00BB04F6" w:rsidRDefault="00BB04F6" w:rsidP="00AA3608">
      <w:pPr>
        <w:spacing w:after="120"/>
        <w:rPr>
          <w:rFonts w:asciiTheme="minorHAnsi" w:hAnsiTheme="minorHAnsi" w:cstheme="minorHAnsi"/>
          <w:b/>
          <w:sz w:val="22"/>
          <w:szCs w:val="22"/>
          <w:lang w:val="en-US"/>
        </w:rPr>
      </w:pPr>
    </w:p>
    <w:p w14:paraId="4A100D53" w14:textId="77777777" w:rsidR="00AA3608" w:rsidRPr="0073316C" w:rsidRDefault="00AA3608" w:rsidP="00AA3608">
      <w:pPr>
        <w:spacing w:after="120"/>
        <w:rPr>
          <w:rFonts w:asciiTheme="minorHAnsi" w:hAnsiTheme="minorHAnsi" w:cstheme="minorHAnsi"/>
          <w:b/>
          <w:color w:val="7091A4" w:themeColor="accent2"/>
          <w:szCs w:val="24"/>
          <w:lang w:val="en-US"/>
        </w:rPr>
      </w:pPr>
      <w:r w:rsidRPr="0073316C">
        <w:rPr>
          <w:rFonts w:asciiTheme="minorHAnsi" w:hAnsiTheme="minorHAnsi" w:cstheme="minorHAnsi"/>
          <w:b/>
          <w:color w:val="7091A4" w:themeColor="accent2"/>
          <w:szCs w:val="24"/>
          <w:lang w:val="en-US"/>
        </w:rPr>
        <w:t>To apply for this position:</w:t>
      </w:r>
    </w:p>
    <w:p w14:paraId="666327D7" w14:textId="605BC328" w:rsidR="00AA3608" w:rsidRPr="0073316C" w:rsidRDefault="00437D13" w:rsidP="00AA3608">
      <w:pPr>
        <w:pStyle w:val="BodyText"/>
        <w:rPr>
          <w:rFonts w:asciiTheme="minorHAnsi" w:hAnsiTheme="minorHAnsi" w:cstheme="minorHAnsi"/>
          <w:b/>
          <w:bCs/>
          <w:sz w:val="22"/>
          <w:szCs w:val="22"/>
        </w:rPr>
      </w:pPr>
      <w:r w:rsidRPr="00437D13">
        <w:rPr>
          <w:rFonts w:asciiTheme="minorHAnsi" w:hAnsiTheme="minorHAnsi" w:cstheme="minorHAnsi"/>
          <w:sz w:val="22"/>
          <w:szCs w:val="22"/>
        </w:rPr>
        <w:t>Interested candidate may apply in complete confidence by submitting a resume with a summary of their achievements. This hiring process may use artificial intelligence (AI) tools to screen and assess applicants.</w:t>
      </w:r>
    </w:p>
    <w:p w14:paraId="04FC5E5E" w14:textId="77777777" w:rsidR="00AA3608" w:rsidRPr="0073316C" w:rsidRDefault="00AA3608" w:rsidP="00AA3608">
      <w:pPr>
        <w:rPr>
          <w:rFonts w:asciiTheme="minorHAnsi" w:hAnsiTheme="minorHAnsi" w:cstheme="minorHAnsi"/>
          <w:b/>
          <w:bCs/>
          <w:i/>
          <w:iCs/>
          <w:sz w:val="22"/>
          <w:lang w:val="en-CA"/>
        </w:rPr>
      </w:pPr>
      <w:r w:rsidRPr="0073316C">
        <w:rPr>
          <w:rFonts w:asciiTheme="minorHAnsi" w:hAnsiTheme="minorHAnsi" w:cstheme="minorHAnsi"/>
          <w:b/>
          <w:bCs/>
          <w:i/>
          <w:iCs/>
          <w:color w:val="1A1A1A"/>
          <w:szCs w:val="24"/>
          <w:shd w:val="clear" w:color="auto" w:fill="FFFFFF"/>
        </w:rPr>
        <w:t>Phoenix Contact Ltd welcomes and encourages applications from people with disabilities. Accommodations are available on request for candidates taking part in all aspects of the selection process.</w:t>
      </w:r>
    </w:p>
    <w:p w14:paraId="60BCE7E8" w14:textId="77777777" w:rsidR="00AA3608" w:rsidRPr="0073316C" w:rsidRDefault="00AA3608" w:rsidP="00AA3608">
      <w:pPr>
        <w:pStyle w:val="BodyText"/>
        <w:rPr>
          <w:rFonts w:asciiTheme="minorHAnsi" w:hAnsiTheme="minorHAnsi" w:cstheme="minorHAnsi"/>
          <w:b/>
          <w:bCs/>
          <w:sz w:val="22"/>
          <w:szCs w:val="22"/>
          <w:lang w:val="en-CA"/>
        </w:rPr>
      </w:pPr>
    </w:p>
    <w:p w14:paraId="6D2BBB09" w14:textId="3739497F" w:rsidR="00C20EBF" w:rsidRPr="0073316C" w:rsidRDefault="00AA3608" w:rsidP="008E3976">
      <w:pPr>
        <w:pStyle w:val="BodyText"/>
        <w:rPr>
          <w:rFonts w:asciiTheme="minorHAnsi" w:hAnsiTheme="minorHAnsi" w:cstheme="minorHAnsi"/>
          <w:szCs w:val="24"/>
          <w:lang w:val="en-US"/>
        </w:rPr>
      </w:pPr>
      <w:r w:rsidRPr="0073316C">
        <w:rPr>
          <w:rFonts w:asciiTheme="minorHAnsi" w:hAnsiTheme="minorHAnsi" w:cstheme="minorHAnsi"/>
          <w:bCs/>
          <w:sz w:val="22"/>
          <w:szCs w:val="22"/>
        </w:rPr>
        <w:t xml:space="preserve">We appreciate your interest; however only candidates selected for interviews will be </w:t>
      </w:r>
      <w:r w:rsidR="005B1F0A" w:rsidRPr="0073316C">
        <w:rPr>
          <w:rFonts w:asciiTheme="minorHAnsi" w:hAnsiTheme="minorHAnsi" w:cstheme="minorHAnsi"/>
          <w:bCs/>
          <w:sz w:val="22"/>
          <w:szCs w:val="22"/>
        </w:rPr>
        <w:t>notified.</w:t>
      </w:r>
    </w:p>
    <w:sectPr w:rsidR="00C20EBF" w:rsidRPr="0073316C" w:rsidSect="006E13FE">
      <w:headerReference w:type="default" r:id="rId7"/>
      <w:pgSz w:w="12240" w:h="15840" w:code="1"/>
      <w:pgMar w:top="2606" w:right="1440" w:bottom="547" w:left="144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A48E" w14:textId="77777777" w:rsidR="00890795" w:rsidRDefault="00890795">
      <w:r>
        <w:separator/>
      </w:r>
    </w:p>
  </w:endnote>
  <w:endnote w:type="continuationSeparator" w:id="0">
    <w:p w14:paraId="6130156A" w14:textId="77777777" w:rsidR="00890795" w:rsidRDefault="0089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2BB4" w14:textId="77777777" w:rsidR="00890795" w:rsidRDefault="00890795">
      <w:r>
        <w:separator/>
      </w:r>
    </w:p>
  </w:footnote>
  <w:footnote w:type="continuationSeparator" w:id="0">
    <w:p w14:paraId="29641839" w14:textId="77777777" w:rsidR="00890795" w:rsidRDefault="00890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9B24" w14:textId="0DC71C3A" w:rsidR="005135D3" w:rsidRPr="00CE6CE9" w:rsidRDefault="00256F11" w:rsidP="005135D3">
    <w:pPr>
      <w:pStyle w:val="Header"/>
      <w:rPr>
        <w:rFonts w:ascii="Helvetica" w:hAnsi="Helvetica"/>
      </w:rPr>
    </w:pPr>
    <w:r>
      <w:rPr>
        <w:noProof/>
        <w:lang w:val="en-US"/>
      </w:rPr>
      <mc:AlternateContent>
        <mc:Choice Requires="wps">
          <w:drawing>
            <wp:anchor distT="0" distB="0" distL="114300" distR="114300" simplePos="0" relativeHeight="251659776" behindDoc="0" locked="0" layoutInCell="1" allowOverlap="1" wp14:anchorId="0F402908" wp14:editId="44B2D493">
              <wp:simplePos x="0" y="0"/>
              <wp:positionH relativeFrom="column">
                <wp:posOffset>-548640</wp:posOffset>
              </wp:positionH>
              <wp:positionV relativeFrom="paragraph">
                <wp:posOffset>937261</wp:posOffset>
              </wp:positionV>
              <wp:extent cx="5379720" cy="3733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B98D4" w14:textId="1BDF43EB" w:rsidR="000A0BED" w:rsidRPr="00617BC4" w:rsidRDefault="00143129" w:rsidP="00C20EBF">
                          <w:pPr>
                            <w:rPr>
                              <w:rFonts w:ascii="Arial" w:hAnsi="Arial" w:cs="Arial"/>
                              <w:b/>
                              <w:color w:val="7091A4" w:themeColor="accent2"/>
                              <w:sz w:val="36"/>
                              <w:lang w:val="en-US"/>
                            </w:rPr>
                          </w:pPr>
                          <w:r>
                            <w:rPr>
                              <w:rFonts w:ascii="Arial" w:hAnsi="Arial" w:cs="Arial"/>
                              <w:b/>
                              <w:color w:val="7091A4" w:themeColor="accent2"/>
                              <w:sz w:val="36"/>
                              <w:lang w:val="en-US"/>
                            </w:rPr>
                            <w:t xml:space="preserve">Regional Channel Manager - </w:t>
                          </w:r>
                          <w:r w:rsidR="00977674">
                            <w:rPr>
                              <w:rFonts w:ascii="Arial" w:hAnsi="Arial" w:cs="Arial"/>
                              <w:b/>
                              <w:color w:val="7091A4" w:themeColor="accent2"/>
                              <w:sz w:val="36"/>
                              <w:lang w:val="en-US"/>
                            </w:rPr>
                            <w:t>West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02908" id="_x0000_t202" coordsize="21600,21600" o:spt="202" path="m,l,21600r21600,l21600,xe">
              <v:stroke joinstyle="miter"/>
              <v:path gradientshapeok="t" o:connecttype="rect"/>
            </v:shapetype>
            <v:shape id="Text Box 2" o:spid="_x0000_s1026" type="#_x0000_t202" style="position:absolute;margin-left:-43.2pt;margin-top:73.8pt;width:423.6pt;height:2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" filled="f" stroked="f">
              <v:textbox>
                <w:txbxContent>
                  <w:p w14:paraId="58CB98D4" w14:textId="1BDF43EB" w:rsidR="000A0BED" w:rsidRPr="00617BC4" w:rsidRDefault="00143129" w:rsidP="00C20EBF">
                    <w:pPr>
                      <w:rPr>
                        <w:rFonts w:ascii="Arial" w:hAnsi="Arial" w:cs="Arial"/>
                        <w:b/>
                        <w:color w:val="7091A4" w:themeColor="accent2"/>
                        <w:sz w:val="36"/>
                        <w:lang w:val="en-US"/>
                      </w:rPr>
                    </w:pPr>
                    <w:r>
                      <w:rPr>
                        <w:rFonts w:ascii="Arial" w:hAnsi="Arial" w:cs="Arial"/>
                        <w:b/>
                        <w:color w:val="7091A4" w:themeColor="accent2"/>
                        <w:sz w:val="36"/>
                        <w:lang w:val="en-US"/>
                      </w:rPr>
                      <w:t xml:space="preserve">Regional Channel Manager - </w:t>
                    </w:r>
                    <w:r w:rsidR="00977674">
                      <w:rPr>
                        <w:rFonts w:ascii="Arial" w:hAnsi="Arial" w:cs="Arial"/>
                        <w:b/>
                        <w:color w:val="7091A4" w:themeColor="accent2"/>
                        <w:sz w:val="36"/>
                        <w:lang w:val="en-US"/>
                      </w:rPr>
                      <w:t>West</w:t>
                    </w:r>
                  </w:p>
                </w:txbxContent>
              </v:textbox>
            </v:shape>
          </w:pict>
        </mc:Fallback>
      </mc:AlternateContent>
    </w:r>
    <w:r>
      <w:rPr>
        <w:rFonts w:ascii="Helvetica" w:hAnsi="Helvetica"/>
        <w:noProof/>
      </w:rPr>
      <w:drawing>
        <wp:anchor distT="0" distB="0" distL="114300" distR="114300" simplePos="0" relativeHeight="251661824" behindDoc="0" locked="0" layoutInCell="1" allowOverlap="1" wp14:anchorId="4D8282C1" wp14:editId="1B796636">
          <wp:simplePos x="0" y="0"/>
          <wp:positionH relativeFrom="column">
            <wp:posOffset>-914400</wp:posOffset>
          </wp:positionH>
          <wp:positionV relativeFrom="paragraph">
            <wp:posOffset>-182880</wp:posOffset>
          </wp:positionV>
          <wp:extent cx="7896225" cy="1203960"/>
          <wp:effectExtent l="0" t="0" r="9525" b="0"/>
          <wp:wrapThrough wrapText="bothSides">
            <wp:wrapPolygon edited="0">
              <wp:start x="0" y="342"/>
              <wp:lineTo x="0" y="21190"/>
              <wp:lineTo x="21574" y="21190"/>
              <wp:lineTo x="21574" y="342"/>
              <wp:lineTo x="0" y="342"/>
            </wp:wrapPolygon>
          </wp:wrapThrough>
          <wp:docPr id="2" name="Picture 2" descr="A group of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lue and green circles&#10;&#10;Description automatically generated"/>
                  <pic:cNvPicPr preferRelativeResize="0"/>
                </pic:nvPicPr>
                <pic:blipFill rotWithShape="1">
                  <a:blip r:embed="rId1">
                    <a:extLst>
                      <a:ext uri="{28A0092B-C50C-407E-A947-70E740481C1C}">
                        <a14:useLocalDpi xmlns:a14="http://schemas.microsoft.com/office/drawing/2010/main" val="0"/>
                      </a:ext>
                    </a:extLst>
                  </a:blip>
                  <a:srcRect t="-4886" b="20710"/>
                  <a:stretch/>
                </pic:blipFill>
                <pic:spPr bwMode="auto">
                  <a:xfrm>
                    <a:off x="0" y="0"/>
                    <a:ext cx="7896225" cy="1203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F5651" w14:textId="46CD3C89" w:rsidR="00025543" w:rsidRPr="00CE6CE9" w:rsidRDefault="00025543">
    <w:pPr>
      <w:pStyle w:val="Heade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1DA"/>
    <w:multiLevelType w:val="multilevel"/>
    <w:tmpl w:val="011C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71F36"/>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A6BB1"/>
    <w:multiLevelType w:val="hybridMultilevel"/>
    <w:tmpl w:val="78F23C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B05A1D"/>
    <w:multiLevelType w:val="hybridMultilevel"/>
    <w:tmpl w:val="951CBE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AAE5748"/>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B4B42"/>
    <w:multiLevelType w:val="multilevel"/>
    <w:tmpl w:val="DBB2FE6E"/>
    <w:lvl w:ilvl="0">
      <w:start w:val="1"/>
      <w:numFmt w:val="bullet"/>
      <w:lvlText w:val=""/>
      <w:lvlJc w:val="left"/>
      <w:pPr>
        <w:tabs>
          <w:tab w:val="num" w:pos="720"/>
        </w:tabs>
        <w:ind w:left="720" w:hanging="360"/>
      </w:pPr>
      <w:rPr>
        <w:rFonts w:ascii="Wingdings" w:hAnsi="Wingdings" w:hint="default"/>
        <w:color w:val="009999"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764D5"/>
    <w:multiLevelType w:val="multilevel"/>
    <w:tmpl w:val="1220B02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46D0C"/>
    <w:multiLevelType w:val="multilevel"/>
    <w:tmpl w:val="8932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767FF"/>
    <w:multiLevelType w:val="multilevel"/>
    <w:tmpl w:val="C826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F5929"/>
    <w:multiLevelType w:val="multilevel"/>
    <w:tmpl w:val="9FD4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21447"/>
    <w:multiLevelType w:val="hybridMultilevel"/>
    <w:tmpl w:val="27F674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32F7DBD"/>
    <w:multiLevelType w:val="hybridMultilevel"/>
    <w:tmpl w:val="367491F0"/>
    <w:lvl w:ilvl="0" w:tplc="B72806D8">
      <w:start w:val="1"/>
      <w:numFmt w:val="bullet"/>
      <w:lvlText w:val="•"/>
      <w:lvlJc w:val="left"/>
      <w:pPr>
        <w:ind w:left="720" w:hanging="360"/>
      </w:pPr>
      <w:rPr>
        <w:rFonts w:ascii="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7C1BB8"/>
    <w:multiLevelType w:val="multilevel"/>
    <w:tmpl w:val="2B526D06"/>
    <w:lvl w:ilvl="0">
      <w:start w:val="1"/>
      <w:numFmt w:val="bullet"/>
      <w:lvlText w:val=""/>
      <w:lvlJc w:val="left"/>
      <w:pPr>
        <w:tabs>
          <w:tab w:val="num" w:pos="720"/>
        </w:tabs>
        <w:ind w:left="720" w:hanging="360"/>
      </w:pPr>
      <w:rPr>
        <w:rFonts w:ascii="Wingdings" w:hAnsi="Wingding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95272"/>
    <w:multiLevelType w:val="hybridMultilevel"/>
    <w:tmpl w:val="42566488"/>
    <w:lvl w:ilvl="0" w:tplc="4532E59C">
      <w:start w:val="1"/>
      <w:numFmt w:val="bullet"/>
      <w:lvlText w:val=""/>
      <w:lvlJc w:val="left"/>
      <w:pPr>
        <w:ind w:left="720" w:hanging="360"/>
      </w:pPr>
      <w:rPr>
        <w:rFonts w:ascii="Wingdings" w:hAnsi="Wingdings" w:hint="default"/>
        <w:color w:val="009999"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CF7493"/>
    <w:multiLevelType w:val="hybridMultilevel"/>
    <w:tmpl w:val="0CD8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67D5B"/>
    <w:multiLevelType w:val="hybridMultilevel"/>
    <w:tmpl w:val="D4AA343A"/>
    <w:lvl w:ilvl="0" w:tplc="4532E59C">
      <w:start w:val="1"/>
      <w:numFmt w:val="bullet"/>
      <w:lvlText w:val=""/>
      <w:lvlJc w:val="left"/>
      <w:pPr>
        <w:ind w:left="720" w:hanging="360"/>
      </w:pPr>
      <w:rPr>
        <w:rFonts w:ascii="Wingdings" w:hAnsi="Wingdings" w:hint="default"/>
        <w:color w:val="009999"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B557C1"/>
    <w:multiLevelType w:val="hybridMultilevel"/>
    <w:tmpl w:val="9A90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97C10"/>
    <w:multiLevelType w:val="hybridMultilevel"/>
    <w:tmpl w:val="755E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34D6B"/>
    <w:multiLevelType w:val="hybridMultilevel"/>
    <w:tmpl w:val="AD785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9F4001"/>
    <w:multiLevelType w:val="hybridMultilevel"/>
    <w:tmpl w:val="4F468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A17844"/>
    <w:multiLevelType w:val="hybridMultilevel"/>
    <w:tmpl w:val="206A09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372E2F1F"/>
    <w:multiLevelType w:val="multilevel"/>
    <w:tmpl w:val="CEA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D6261B"/>
    <w:multiLevelType w:val="hybridMultilevel"/>
    <w:tmpl w:val="18AE4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0996DF6"/>
    <w:multiLevelType w:val="hybridMultilevel"/>
    <w:tmpl w:val="73668E36"/>
    <w:lvl w:ilvl="0" w:tplc="4532E59C">
      <w:start w:val="1"/>
      <w:numFmt w:val="bullet"/>
      <w:lvlText w:val=""/>
      <w:lvlJc w:val="left"/>
      <w:pPr>
        <w:ind w:left="720" w:hanging="360"/>
      </w:pPr>
      <w:rPr>
        <w:rFonts w:ascii="Wingdings" w:hAnsi="Wingdings" w:hint="default"/>
        <w:color w:val="009999"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976A9"/>
    <w:multiLevelType w:val="hybridMultilevel"/>
    <w:tmpl w:val="F59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76B61"/>
    <w:multiLevelType w:val="hybridMultilevel"/>
    <w:tmpl w:val="8C4827A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4BD8686D"/>
    <w:multiLevelType w:val="multilevel"/>
    <w:tmpl w:val="90C8C036"/>
    <w:lvl w:ilvl="0">
      <w:start w:val="1"/>
      <w:numFmt w:val="decimal"/>
      <w:lvlText w:val="%1."/>
      <w:lvlJc w:val="left"/>
      <w:pPr>
        <w:tabs>
          <w:tab w:val="num" w:pos="720"/>
        </w:tabs>
        <w:ind w:left="720" w:hanging="360"/>
      </w:pPr>
      <w:rPr>
        <w:rFont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555D69"/>
    <w:multiLevelType w:val="multilevel"/>
    <w:tmpl w:val="90F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B366D1"/>
    <w:multiLevelType w:val="hybridMultilevel"/>
    <w:tmpl w:val="4978FE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58F33961"/>
    <w:multiLevelType w:val="multilevel"/>
    <w:tmpl w:val="19B2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FD1684"/>
    <w:multiLevelType w:val="multilevel"/>
    <w:tmpl w:val="E2F8C64A"/>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685E61"/>
    <w:multiLevelType w:val="multilevel"/>
    <w:tmpl w:val="136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F95F39"/>
    <w:multiLevelType w:val="hybridMultilevel"/>
    <w:tmpl w:val="D018B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E621A98"/>
    <w:multiLevelType w:val="multilevel"/>
    <w:tmpl w:val="D4AA177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3A1B8B"/>
    <w:multiLevelType w:val="hybridMultilevel"/>
    <w:tmpl w:val="D4208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6E23778"/>
    <w:multiLevelType w:val="hybridMultilevel"/>
    <w:tmpl w:val="4BAED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7DA63B6"/>
    <w:multiLevelType w:val="multilevel"/>
    <w:tmpl w:val="043A7F02"/>
    <w:lvl w:ilvl="0">
      <w:start w:val="1"/>
      <w:numFmt w:val="bullet"/>
      <w:lvlText w:val=""/>
      <w:lvlJc w:val="left"/>
      <w:pPr>
        <w:tabs>
          <w:tab w:val="num" w:pos="720"/>
        </w:tabs>
        <w:ind w:left="720" w:hanging="360"/>
      </w:pPr>
      <w:rPr>
        <w:rFonts w:ascii="Wingdings" w:hAnsi="Wingdings" w:hint="default"/>
        <w:color w:val="009999"/>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34505C"/>
    <w:multiLevelType w:val="hybridMultilevel"/>
    <w:tmpl w:val="4A9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A5E4F"/>
    <w:multiLevelType w:val="hybridMultilevel"/>
    <w:tmpl w:val="388E1872"/>
    <w:lvl w:ilvl="0" w:tplc="47529DEE">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F1970F9"/>
    <w:multiLevelType w:val="multilevel"/>
    <w:tmpl w:val="AA9A6E0E"/>
    <w:lvl w:ilvl="0">
      <w:start w:val="1"/>
      <w:numFmt w:val="bullet"/>
      <w:lvlText w:val=""/>
      <w:lvlJc w:val="left"/>
      <w:pPr>
        <w:tabs>
          <w:tab w:val="num" w:pos="720"/>
        </w:tabs>
        <w:ind w:left="720" w:hanging="360"/>
      </w:pPr>
      <w:rPr>
        <w:rFonts w:ascii="Wingdings" w:hAnsi="Wingding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7C4597"/>
    <w:multiLevelType w:val="hybridMultilevel"/>
    <w:tmpl w:val="DC2285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142A42"/>
    <w:multiLevelType w:val="hybridMultilevel"/>
    <w:tmpl w:val="E2709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2305C60"/>
    <w:multiLevelType w:val="hybridMultilevel"/>
    <w:tmpl w:val="0E80BC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7C9F44C7"/>
    <w:multiLevelType w:val="multilevel"/>
    <w:tmpl w:val="B1EE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3E76E7"/>
    <w:multiLevelType w:val="hybridMultilevel"/>
    <w:tmpl w:val="9EB2B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FA53C0A"/>
    <w:multiLevelType w:val="hybridMultilevel"/>
    <w:tmpl w:val="A1E693CE"/>
    <w:lvl w:ilvl="0" w:tplc="226A9D08">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9353657">
    <w:abstractNumId w:val="13"/>
  </w:num>
  <w:num w:numId="2" w16cid:durableId="1000158444">
    <w:abstractNumId w:val="15"/>
  </w:num>
  <w:num w:numId="3" w16cid:durableId="154683828">
    <w:abstractNumId w:val="33"/>
  </w:num>
  <w:num w:numId="4" w16cid:durableId="699815582">
    <w:abstractNumId w:val="8"/>
  </w:num>
  <w:num w:numId="5" w16cid:durableId="1510440819">
    <w:abstractNumId w:val="36"/>
  </w:num>
  <w:num w:numId="6" w16cid:durableId="840588376">
    <w:abstractNumId w:val="26"/>
  </w:num>
  <w:num w:numId="7" w16cid:durableId="1006445858">
    <w:abstractNumId w:val="12"/>
  </w:num>
  <w:num w:numId="8" w16cid:durableId="414516295">
    <w:abstractNumId w:val="5"/>
  </w:num>
  <w:num w:numId="9" w16cid:durableId="1129712966">
    <w:abstractNumId w:val="39"/>
  </w:num>
  <w:num w:numId="10" w16cid:durableId="1187134772">
    <w:abstractNumId w:val="23"/>
  </w:num>
  <w:num w:numId="11" w16cid:durableId="355276931">
    <w:abstractNumId w:val="42"/>
  </w:num>
  <w:num w:numId="12" w16cid:durableId="1776173543">
    <w:abstractNumId w:val="28"/>
  </w:num>
  <w:num w:numId="13" w16cid:durableId="1840585298">
    <w:abstractNumId w:val="20"/>
  </w:num>
  <w:num w:numId="14" w16cid:durableId="1967931441">
    <w:abstractNumId w:val="41"/>
  </w:num>
  <w:num w:numId="15" w16cid:durableId="1827016390">
    <w:abstractNumId w:val="21"/>
  </w:num>
  <w:num w:numId="16" w16cid:durableId="1705061821">
    <w:abstractNumId w:val="0"/>
  </w:num>
  <w:num w:numId="17" w16cid:durableId="428425998">
    <w:abstractNumId w:val="9"/>
  </w:num>
  <w:num w:numId="18" w16cid:durableId="403995615">
    <w:abstractNumId w:val="29"/>
  </w:num>
  <w:num w:numId="19" w16cid:durableId="1887449337">
    <w:abstractNumId w:val="11"/>
  </w:num>
  <w:num w:numId="20" w16cid:durableId="1512644441">
    <w:abstractNumId w:val="30"/>
  </w:num>
  <w:num w:numId="21" w16cid:durableId="926622148">
    <w:abstractNumId w:val="1"/>
  </w:num>
  <w:num w:numId="22" w16cid:durableId="1768768967">
    <w:abstractNumId w:val="14"/>
  </w:num>
  <w:num w:numId="23" w16cid:durableId="423693636">
    <w:abstractNumId w:val="4"/>
  </w:num>
  <w:num w:numId="24" w16cid:durableId="1566254967">
    <w:abstractNumId w:val="45"/>
  </w:num>
  <w:num w:numId="25" w16cid:durableId="1540119364">
    <w:abstractNumId w:val="6"/>
  </w:num>
  <w:num w:numId="26" w16cid:durableId="843932525">
    <w:abstractNumId w:val="43"/>
  </w:num>
  <w:num w:numId="27" w16cid:durableId="1897889088">
    <w:abstractNumId w:val="31"/>
  </w:num>
  <w:num w:numId="28" w16cid:durableId="1092356409">
    <w:abstractNumId w:val="2"/>
  </w:num>
  <w:num w:numId="29" w16cid:durableId="754473297">
    <w:abstractNumId w:val="24"/>
  </w:num>
  <w:num w:numId="30" w16cid:durableId="1241988198">
    <w:abstractNumId w:val="37"/>
  </w:num>
  <w:num w:numId="31" w16cid:durableId="1014575894">
    <w:abstractNumId w:val="16"/>
  </w:num>
  <w:num w:numId="32" w16cid:durableId="1778134077">
    <w:abstractNumId w:val="17"/>
  </w:num>
  <w:num w:numId="33" w16cid:durableId="594827599">
    <w:abstractNumId w:val="35"/>
  </w:num>
  <w:num w:numId="34" w16cid:durableId="1622683248">
    <w:abstractNumId w:val="18"/>
  </w:num>
  <w:num w:numId="35" w16cid:durableId="1086997821">
    <w:abstractNumId w:val="44"/>
  </w:num>
  <w:num w:numId="36" w16cid:durableId="1842741805">
    <w:abstractNumId w:val="40"/>
  </w:num>
  <w:num w:numId="37" w16cid:durableId="16587525">
    <w:abstractNumId w:val="19"/>
  </w:num>
  <w:num w:numId="38" w16cid:durableId="1962615918">
    <w:abstractNumId w:val="3"/>
  </w:num>
  <w:num w:numId="39" w16cid:durableId="200288385">
    <w:abstractNumId w:val="10"/>
  </w:num>
  <w:num w:numId="40" w16cid:durableId="1203665936">
    <w:abstractNumId w:val="25"/>
  </w:num>
  <w:num w:numId="41" w16cid:durableId="441148145">
    <w:abstractNumId w:val="7"/>
  </w:num>
  <w:num w:numId="42" w16cid:durableId="213079720">
    <w:abstractNumId w:val="27"/>
  </w:num>
  <w:num w:numId="43" w16cid:durableId="411316217">
    <w:abstractNumId w:val="34"/>
  </w:num>
  <w:num w:numId="44" w16cid:durableId="1200434039">
    <w:abstractNumId w:val="22"/>
  </w:num>
  <w:num w:numId="45" w16cid:durableId="2002344661">
    <w:abstractNumId w:val="32"/>
  </w:num>
  <w:num w:numId="46" w16cid:durableId="187422887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14"/>
    <w:rsid w:val="000000E7"/>
    <w:rsid w:val="00001E15"/>
    <w:rsid w:val="00003F78"/>
    <w:rsid w:val="00004A2F"/>
    <w:rsid w:val="00021EC1"/>
    <w:rsid w:val="00025543"/>
    <w:rsid w:val="00026880"/>
    <w:rsid w:val="00035CC8"/>
    <w:rsid w:val="0004138F"/>
    <w:rsid w:val="0004317B"/>
    <w:rsid w:val="00046A69"/>
    <w:rsid w:val="00052F62"/>
    <w:rsid w:val="000612DA"/>
    <w:rsid w:val="000648CA"/>
    <w:rsid w:val="00066154"/>
    <w:rsid w:val="00066FEF"/>
    <w:rsid w:val="0008349B"/>
    <w:rsid w:val="00085688"/>
    <w:rsid w:val="00093A3D"/>
    <w:rsid w:val="00094DBF"/>
    <w:rsid w:val="000A0BED"/>
    <w:rsid w:val="000A343C"/>
    <w:rsid w:val="000A7B56"/>
    <w:rsid w:val="000B0608"/>
    <w:rsid w:val="000C29F0"/>
    <w:rsid w:val="000C7EE7"/>
    <w:rsid w:val="000E248E"/>
    <w:rsid w:val="000E2BBA"/>
    <w:rsid w:val="000E2CD8"/>
    <w:rsid w:val="000E5198"/>
    <w:rsid w:val="000E7BD0"/>
    <w:rsid w:val="000F079C"/>
    <w:rsid w:val="000F4F74"/>
    <w:rsid w:val="000F65AB"/>
    <w:rsid w:val="00106C60"/>
    <w:rsid w:val="00115F64"/>
    <w:rsid w:val="001177D2"/>
    <w:rsid w:val="00126428"/>
    <w:rsid w:val="00143129"/>
    <w:rsid w:val="001619FD"/>
    <w:rsid w:val="00162BD9"/>
    <w:rsid w:val="00172F70"/>
    <w:rsid w:val="0017408E"/>
    <w:rsid w:val="0017636F"/>
    <w:rsid w:val="001819B0"/>
    <w:rsid w:val="001843B1"/>
    <w:rsid w:val="00196673"/>
    <w:rsid w:val="001C63C5"/>
    <w:rsid w:val="001C6AB4"/>
    <w:rsid w:val="001E04E0"/>
    <w:rsid w:val="001F7960"/>
    <w:rsid w:val="00200292"/>
    <w:rsid w:val="002045BB"/>
    <w:rsid w:val="00215833"/>
    <w:rsid w:val="002403F8"/>
    <w:rsid w:val="002425CE"/>
    <w:rsid w:val="0024499E"/>
    <w:rsid w:val="0024542A"/>
    <w:rsid w:val="00256F11"/>
    <w:rsid w:val="00262FF2"/>
    <w:rsid w:val="002710CC"/>
    <w:rsid w:val="00277393"/>
    <w:rsid w:val="00282509"/>
    <w:rsid w:val="002A1BAE"/>
    <w:rsid w:val="002B0057"/>
    <w:rsid w:val="002B099D"/>
    <w:rsid w:val="002B1159"/>
    <w:rsid w:val="002D13D3"/>
    <w:rsid w:val="002D1443"/>
    <w:rsid w:val="002D5AB0"/>
    <w:rsid w:val="002D7F6B"/>
    <w:rsid w:val="002E1B65"/>
    <w:rsid w:val="002F151D"/>
    <w:rsid w:val="002F2F41"/>
    <w:rsid w:val="003020B7"/>
    <w:rsid w:val="00305638"/>
    <w:rsid w:val="0031458C"/>
    <w:rsid w:val="003156E8"/>
    <w:rsid w:val="00317891"/>
    <w:rsid w:val="00317F14"/>
    <w:rsid w:val="00317F77"/>
    <w:rsid w:val="00327F85"/>
    <w:rsid w:val="003536E4"/>
    <w:rsid w:val="00354498"/>
    <w:rsid w:val="00356CB9"/>
    <w:rsid w:val="003656EE"/>
    <w:rsid w:val="00374E35"/>
    <w:rsid w:val="00386390"/>
    <w:rsid w:val="0039118C"/>
    <w:rsid w:val="00394BFA"/>
    <w:rsid w:val="003A5771"/>
    <w:rsid w:val="003B15EF"/>
    <w:rsid w:val="003E16FF"/>
    <w:rsid w:val="003E4C93"/>
    <w:rsid w:val="003E4D14"/>
    <w:rsid w:val="003E4D6C"/>
    <w:rsid w:val="003E6876"/>
    <w:rsid w:val="0040041B"/>
    <w:rsid w:val="00410F34"/>
    <w:rsid w:val="004155B3"/>
    <w:rsid w:val="00427971"/>
    <w:rsid w:val="00432796"/>
    <w:rsid w:val="00437D13"/>
    <w:rsid w:val="004422F1"/>
    <w:rsid w:val="0044640D"/>
    <w:rsid w:val="004604C6"/>
    <w:rsid w:val="004769D4"/>
    <w:rsid w:val="00480CFA"/>
    <w:rsid w:val="004B2845"/>
    <w:rsid w:val="004C19BA"/>
    <w:rsid w:val="004D0F3A"/>
    <w:rsid w:val="004E5D72"/>
    <w:rsid w:val="004F4D31"/>
    <w:rsid w:val="004F4E46"/>
    <w:rsid w:val="005032E3"/>
    <w:rsid w:val="0051132A"/>
    <w:rsid w:val="005135D3"/>
    <w:rsid w:val="00516E72"/>
    <w:rsid w:val="005171C5"/>
    <w:rsid w:val="00531A23"/>
    <w:rsid w:val="00534D3F"/>
    <w:rsid w:val="00535649"/>
    <w:rsid w:val="00544DA0"/>
    <w:rsid w:val="0054512A"/>
    <w:rsid w:val="0054515F"/>
    <w:rsid w:val="005473F3"/>
    <w:rsid w:val="00551AC3"/>
    <w:rsid w:val="005774E9"/>
    <w:rsid w:val="00583232"/>
    <w:rsid w:val="00587823"/>
    <w:rsid w:val="00596B91"/>
    <w:rsid w:val="005A2D72"/>
    <w:rsid w:val="005A4DFB"/>
    <w:rsid w:val="005B1F0A"/>
    <w:rsid w:val="005B6FBE"/>
    <w:rsid w:val="005C7C6A"/>
    <w:rsid w:val="005D275B"/>
    <w:rsid w:val="00602EEC"/>
    <w:rsid w:val="00607228"/>
    <w:rsid w:val="0060753E"/>
    <w:rsid w:val="006157DE"/>
    <w:rsid w:val="006175C7"/>
    <w:rsid w:val="00617BC4"/>
    <w:rsid w:val="0062356D"/>
    <w:rsid w:val="00624042"/>
    <w:rsid w:val="006339A0"/>
    <w:rsid w:val="006437AA"/>
    <w:rsid w:val="0065061F"/>
    <w:rsid w:val="00653D94"/>
    <w:rsid w:val="00655B2D"/>
    <w:rsid w:val="00655B32"/>
    <w:rsid w:val="006606D0"/>
    <w:rsid w:val="00664C2F"/>
    <w:rsid w:val="006651E6"/>
    <w:rsid w:val="006827FE"/>
    <w:rsid w:val="00684522"/>
    <w:rsid w:val="00687998"/>
    <w:rsid w:val="00693428"/>
    <w:rsid w:val="006A56E2"/>
    <w:rsid w:val="006B7847"/>
    <w:rsid w:val="006B7BB9"/>
    <w:rsid w:val="006C4196"/>
    <w:rsid w:val="006C5DC0"/>
    <w:rsid w:val="006E13FE"/>
    <w:rsid w:val="006E41DF"/>
    <w:rsid w:val="006E5D03"/>
    <w:rsid w:val="006F23C4"/>
    <w:rsid w:val="006F29A8"/>
    <w:rsid w:val="006F3BAE"/>
    <w:rsid w:val="006F6999"/>
    <w:rsid w:val="006F7CBC"/>
    <w:rsid w:val="00705A4A"/>
    <w:rsid w:val="00712AEE"/>
    <w:rsid w:val="007168F3"/>
    <w:rsid w:val="00720051"/>
    <w:rsid w:val="0072117B"/>
    <w:rsid w:val="00722942"/>
    <w:rsid w:val="0073316C"/>
    <w:rsid w:val="007516F2"/>
    <w:rsid w:val="007524DF"/>
    <w:rsid w:val="00755793"/>
    <w:rsid w:val="007632FF"/>
    <w:rsid w:val="007959F5"/>
    <w:rsid w:val="007976BD"/>
    <w:rsid w:val="007A3B95"/>
    <w:rsid w:val="007B515F"/>
    <w:rsid w:val="007C192F"/>
    <w:rsid w:val="007C5388"/>
    <w:rsid w:val="007C562F"/>
    <w:rsid w:val="007E2452"/>
    <w:rsid w:val="007E6C7F"/>
    <w:rsid w:val="00800135"/>
    <w:rsid w:val="00801838"/>
    <w:rsid w:val="00803606"/>
    <w:rsid w:val="00807A11"/>
    <w:rsid w:val="00807CC0"/>
    <w:rsid w:val="008146CB"/>
    <w:rsid w:val="00822CD2"/>
    <w:rsid w:val="00827424"/>
    <w:rsid w:val="00830C88"/>
    <w:rsid w:val="008419B7"/>
    <w:rsid w:val="00865F27"/>
    <w:rsid w:val="00890795"/>
    <w:rsid w:val="008945AA"/>
    <w:rsid w:val="00894B5C"/>
    <w:rsid w:val="00894D2B"/>
    <w:rsid w:val="00897ECE"/>
    <w:rsid w:val="008A7FD7"/>
    <w:rsid w:val="008B1299"/>
    <w:rsid w:val="008B3A99"/>
    <w:rsid w:val="008B3D82"/>
    <w:rsid w:val="008B64B4"/>
    <w:rsid w:val="008E3976"/>
    <w:rsid w:val="008E3FD2"/>
    <w:rsid w:val="008E6EEA"/>
    <w:rsid w:val="008F2D87"/>
    <w:rsid w:val="00902562"/>
    <w:rsid w:val="00904DE9"/>
    <w:rsid w:val="00906D6D"/>
    <w:rsid w:val="0090719B"/>
    <w:rsid w:val="00907E6D"/>
    <w:rsid w:val="00923496"/>
    <w:rsid w:val="00923E94"/>
    <w:rsid w:val="0093168F"/>
    <w:rsid w:val="00936650"/>
    <w:rsid w:val="00945369"/>
    <w:rsid w:val="00963015"/>
    <w:rsid w:val="00966D9D"/>
    <w:rsid w:val="00967645"/>
    <w:rsid w:val="0097157B"/>
    <w:rsid w:val="00977674"/>
    <w:rsid w:val="00984BD7"/>
    <w:rsid w:val="00991E03"/>
    <w:rsid w:val="00994688"/>
    <w:rsid w:val="009946C2"/>
    <w:rsid w:val="00994A90"/>
    <w:rsid w:val="009968ED"/>
    <w:rsid w:val="00997968"/>
    <w:rsid w:val="009A3CCD"/>
    <w:rsid w:val="009C2E5B"/>
    <w:rsid w:val="009C3629"/>
    <w:rsid w:val="009D00F1"/>
    <w:rsid w:val="009D7D04"/>
    <w:rsid w:val="009E1894"/>
    <w:rsid w:val="009E399B"/>
    <w:rsid w:val="009E6E37"/>
    <w:rsid w:val="009F0376"/>
    <w:rsid w:val="009F6736"/>
    <w:rsid w:val="009F7602"/>
    <w:rsid w:val="00A001D8"/>
    <w:rsid w:val="00A03220"/>
    <w:rsid w:val="00A118D1"/>
    <w:rsid w:val="00A12369"/>
    <w:rsid w:val="00A14FC3"/>
    <w:rsid w:val="00A160F6"/>
    <w:rsid w:val="00A25DB3"/>
    <w:rsid w:val="00A3098A"/>
    <w:rsid w:val="00A37D1C"/>
    <w:rsid w:val="00A51B02"/>
    <w:rsid w:val="00A520DA"/>
    <w:rsid w:val="00A648B1"/>
    <w:rsid w:val="00A75E98"/>
    <w:rsid w:val="00A804A0"/>
    <w:rsid w:val="00A934D4"/>
    <w:rsid w:val="00AA3608"/>
    <w:rsid w:val="00AA3824"/>
    <w:rsid w:val="00AA42D4"/>
    <w:rsid w:val="00AA5C5E"/>
    <w:rsid w:val="00AC368C"/>
    <w:rsid w:val="00AC3D02"/>
    <w:rsid w:val="00B0241A"/>
    <w:rsid w:val="00B02C14"/>
    <w:rsid w:val="00B036FC"/>
    <w:rsid w:val="00B119B3"/>
    <w:rsid w:val="00B14628"/>
    <w:rsid w:val="00B2238C"/>
    <w:rsid w:val="00B363DE"/>
    <w:rsid w:val="00B437CF"/>
    <w:rsid w:val="00B44691"/>
    <w:rsid w:val="00B60370"/>
    <w:rsid w:val="00B63B3F"/>
    <w:rsid w:val="00B70DD0"/>
    <w:rsid w:val="00B75912"/>
    <w:rsid w:val="00B772AA"/>
    <w:rsid w:val="00B85AB6"/>
    <w:rsid w:val="00B85EE2"/>
    <w:rsid w:val="00B87BB1"/>
    <w:rsid w:val="00B87CC9"/>
    <w:rsid w:val="00B87EDB"/>
    <w:rsid w:val="00B90323"/>
    <w:rsid w:val="00B91B58"/>
    <w:rsid w:val="00B95A37"/>
    <w:rsid w:val="00B969FA"/>
    <w:rsid w:val="00BA640C"/>
    <w:rsid w:val="00BB04F6"/>
    <w:rsid w:val="00BB09A2"/>
    <w:rsid w:val="00BB2ADD"/>
    <w:rsid w:val="00BC3015"/>
    <w:rsid w:val="00BD11A0"/>
    <w:rsid w:val="00BD1588"/>
    <w:rsid w:val="00BE01E3"/>
    <w:rsid w:val="00BE4CDD"/>
    <w:rsid w:val="00C0189B"/>
    <w:rsid w:val="00C02C9C"/>
    <w:rsid w:val="00C048AC"/>
    <w:rsid w:val="00C20EBF"/>
    <w:rsid w:val="00C375BA"/>
    <w:rsid w:val="00C43AC7"/>
    <w:rsid w:val="00C50CAB"/>
    <w:rsid w:val="00C72B91"/>
    <w:rsid w:val="00C743AC"/>
    <w:rsid w:val="00C801F3"/>
    <w:rsid w:val="00C836BC"/>
    <w:rsid w:val="00CD2F71"/>
    <w:rsid w:val="00CE0422"/>
    <w:rsid w:val="00CE115F"/>
    <w:rsid w:val="00CE6CE9"/>
    <w:rsid w:val="00CF0ADA"/>
    <w:rsid w:val="00CF4045"/>
    <w:rsid w:val="00CF7B4A"/>
    <w:rsid w:val="00D070A8"/>
    <w:rsid w:val="00D07420"/>
    <w:rsid w:val="00D11AC2"/>
    <w:rsid w:val="00D15A74"/>
    <w:rsid w:val="00D271AA"/>
    <w:rsid w:val="00D27B05"/>
    <w:rsid w:val="00D42D4A"/>
    <w:rsid w:val="00D479E6"/>
    <w:rsid w:val="00D501E3"/>
    <w:rsid w:val="00D55CB8"/>
    <w:rsid w:val="00D6423D"/>
    <w:rsid w:val="00D73E6F"/>
    <w:rsid w:val="00D9187A"/>
    <w:rsid w:val="00DB760F"/>
    <w:rsid w:val="00DC2211"/>
    <w:rsid w:val="00DE0C7E"/>
    <w:rsid w:val="00DF12D7"/>
    <w:rsid w:val="00E06045"/>
    <w:rsid w:val="00E06DE4"/>
    <w:rsid w:val="00E10AC0"/>
    <w:rsid w:val="00E4616D"/>
    <w:rsid w:val="00E51B30"/>
    <w:rsid w:val="00E579D3"/>
    <w:rsid w:val="00E73A5A"/>
    <w:rsid w:val="00E74391"/>
    <w:rsid w:val="00E75624"/>
    <w:rsid w:val="00E83C15"/>
    <w:rsid w:val="00E94111"/>
    <w:rsid w:val="00EB0947"/>
    <w:rsid w:val="00EC5D86"/>
    <w:rsid w:val="00EC7EEC"/>
    <w:rsid w:val="00ED484D"/>
    <w:rsid w:val="00EE1327"/>
    <w:rsid w:val="00EE1E89"/>
    <w:rsid w:val="00EF3750"/>
    <w:rsid w:val="00F36A0A"/>
    <w:rsid w:val="00F412AB"/>
    <w:rsid w:val="00F42153"/>
    <w:rsid w:val="00F53E13"/>
    <w:rsid w:val="00F57FC3"/>
    <w:rsid w:val="00F62A5A"/>
    <w:rsid w:val="00F63583"/>
    <w:rsid w:val="00F73D41"/>
    <w:rsid w:val="00F74130"/>
    <w:rsid w:val="00F90DBC"/>
    <w:rsid w:val="00F95430"/>
    <w:rsid w:val="00F95A04"/>
    <w:rsid w:val="00FA4BA6"/>
    <w:rsid w:val="00FB01FC"/>
    <w:rsid w:val="00FC0F86"/>
    <w:rsid w:val="00FD1AF4"/>
    <w:rsid w:val="00FE24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1C446"/>
  <w15:docId w15:val="{C0A6B4A9-5CE0-455D-B126-A3EF426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BED"/>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422F1"/>
    <w:rPr>
      <w:rFonts w:ascii="Tahoma" w:hAnsi="Tahoma" w:cs="Tahoma"/>
      <w:sz w:val="16"/>
      <w:szCs w:val="16"/>
    </w:rPr>
  </w:style>
  <w:style w:type="table" w:styleId="TableGrid">
    <w:name w:val="Table Grid"/>
    <w:basedOn w:val="TableNormal"/>
    <w:rsid w:val="003A5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363DE"/>
    <w:rPr>
      <w:color w:val="0000FF"/>
      <w:u w:val="single"/>
    </w:rPr>
  </w:style>
  <w:style w:type="paragraph" w:styleId="ListParagraph">
    <w:name w:val="List Paragraph"/>
    <w:basedOn w:val="Normal"/>
    <w:uiPriority w:val="34"/>
    <w:qFormat/>
    <w:rsid w:val="00C20EBF"/>
    <w:pPr>
      <w:ind w:left="720"/>
      <w:contextualSpacing/>
    </w:pPr>
  </w:style>
  <w:style w:type="paragraph" w:styleId="BodyText">
    <w:name w:val="Body Text"/>
    <w:basedOn w:val="Normal"/>
    <w:link w:val="BodyTextChar"/>
    <w:unhideWhenUsed/>
    <w:rsid w:val="004C19BA"/>
  </w:style>
  <w:style w:type="character" w:customStyle="1" w:styleId="BodyTextChar">
    <w:name w:val="Body Text Char"/>
    <w:basedOn w:val="DefaultParagraphFont"/>
    <w:link w:val="BodyText"/>
    <w:rsid w:val="004C19BA"/>
    <w:rPr>
      <w:sz w:val="24"/>
      <w:lang w:val="en-GB" w:eastAsia="en-US"/>
    </w:rPr>
  </w:style>
  <w:style w:type="paragraph" w:styleId="NormalWeb">
    <w:name w:val="Normal (Web)"/>
    <w:basedOn w:val="Normal"/>
    <w:uiPriority w:val="99"/>
    <w:unhideWhenUsed/>
    <w:rsid w:val="000612DA"/>
    <w:pPr>
      <w:spacing w:before="100" w:beforeAutospacing="1" w:after="100" w:afterAutospacing="1"/>
    </w:pPr>
    <w:rPr>
      <w:szCs w:val="24"/>
      <w:lang w:val="en-CA" w:eastAsia="en-CA"/>
    </w:rPr>
  </w:style>
  <w:style w:type="character" w:styleId="Strong">
    <w:name w:val="Strong"/>
    <w:basedOn w:val="DefaultParagraphFont"/>
    <w:uiPriority w:val="22"/>
    <w:qFormat/>
    <w:rsid w:val="00FB0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3446">
      <w:bodyDiv w:val="1"/>
      <w:marLeft w:val="0"/>
      <w:marRight w:val="0"/>
      <w:marTop w:val="0"/>
      <w:marBottom w:val="0"/>
      <w:divBdr>
        <w:top w:val="none" w:sz="0" w:space="0" w:color="auto"/>
        <w:left w:val="none" w:sz="0" w:space="0" w:color="auto"/>
        <w:bottom w:val="none" w:sz="0" w:space="0" w:color="auto"/>
        <w:right w:val="none" w:sz="0" w:space="0" w:color="auto"/>
      </w:divBdr>
    </w:div>
    <w:div w:id="572087859">
      <w:bodyDiv w:val="1"/>
      <w:marLeft w:val="0"/>
      <w:marRight w:val="0"/>
      <w:marTop w:val="0"/>
      <w:marBottom w:val="0"/>
      <w:divBdr>
        <w:top w:val="none" w:sz="0" w:space="0" w:color="auto"/>
        <w:left w:val="none" w:sz="0" w:space="0" w:color="auto"/>
        <w:bottom w:val="none" w:sz="0" w:space="0" w:color="auto"/>
        <w:right w:val="none" w:sz="0" w:space="0" w:color="auto"/>
      </w:divBdr>
    </w:div>
    <w:div w:id="729419700">
      <w:bodyDiv w:val="1"/>
      <w:marLeft w:val="0"/>
      <w:marRight w:val="0"/>
      <w:marTop w:val="0"/>
      <w:marBottom w:val="0"/>
      <w:divBdr>
        <w:top w:val="none" w:sz="0" w:space="0" w:color="auto"/>
        <w:left w:val="none" w:sz="0" w:space="0" w:color="auto"/>
        <w:bottom w:val="none" w:sz="0" w:space="0" w:color="auto"/>
        <w:right w:val="none" w:sz="0" w:space="0" w:color="auto"/>
      </w:divBdr>
      <w:divsChild>
        <w:div w:id="1521820991">
          <w:marLeft w:val="0"/>
          <w:marRight w:val="360"/>
          <w:marTop w:val="0"/>
          <w:marBottom w:val="0"/>
          <w:divBdr>
            <w:top w:val="none" w:sz="0" w:space="0" w:color="auto"/>
            <w:left w:val="none" w:sz="0" w:space="0" w:color="auto"/>
            <w:bottom w:val="none" w:sz="0" w:space="0" w:color="auto"/>
            <w:right w:val="none" w:sz="0" w:space="0" w:color="auto"/>
          </w:divBdr>
        </w:div>
        <w:div w:id="261450967">
          <w:marLeft w:val="0"/>
          <w:marRight w:val="0"/>
          <w:marTop w:val="0"/>
          <w:marBottom w:val="0"/>
          <w:divBdr>
            <w:top w:val="none" w:sz="0" w:space="0" w:color="auto"/>
            <w:left w:val="none" w:sz="0" w:space="0" w:color="auto"/>
            <w:bottom w:val="none" w:sz="0" w:space="0" w:color="auto"/>
            <w:right w:val="none" w:sz="0" w:space="0" w:color="auto"/>
          </w:divBdr>
          <w:divsChild>
            <w:div w:id="1212350866">
              <w:marLeft w:val="0"/>
              <w:marRight w:val="0"/>
              <w:marTop w:val="0"/>
              <w:marBottom w:val="0"/>
              <w:divBdr>
                <w:top w:val="none" w:sz="0" w:space="0" w:color="auto"/>
                <w:left w:val="none" w:sz="0" w:space="0" w:color="auto"/>
                <w:bottom w:val="single" w:sz="6" w:space="0" w:color="auto"/>
                <w:right w:val="none" w:sz="0" w:space="0" w:color="auto"/>
              </w:divBdr>
              <w:divsChild>
                <w:div w:id="1768578780">
                  <w:marLeft w:val="0"/>
                  <w:marRight w:val="0"/>
                  <w:marTop w:val="0"/>
                  <w:marBottom w:val="0"/>
                  <w:divBdr>
                    <w:top w:val="none" w:sz="0" w:space="0" w:color="auto"/>
                    <w:left w:val="none" w:sz="0" w:space="0" w:color="auto"/>
                    <w:bottom w:val="none" w:sz="0" w:space="0" w:color="auto"/>
                    <w:right w:val="none" w:sz="0" w:space="0" w:color="auto"/>
                  </w:divBdr>
                  <w:divsChild>
                    <w:div w:id="705830790">
                      <w:marLeft w:val="0"/>
                      <w:marRight w:val="0"/>
                      <w:marTop w:val="0"/>
                      <w:marBottom w:val="0"/>
                      <w:divBdr>
                        <w:top w:val="none" w:sz="0" w:space="0" w:color="auto"/>
                        <w:left w:val="none" w:sz="0" w:space="0" w:color="auto"/>
                        <w:bottom w:val="none" w:sz="0" w:space="0" w:color="auto"/>
                        <w:right w:val="none" w:sz="0" w:space="0" w:color="auto"/>
                      </w:divBdr>
                      <w:divsChild>
                        <w:div w:id="2122450905">
                          <w:marLeft w:val="0"/>
                          <w:marRight w:val="0"/>
                          <w:marTop w:val="0"/>
                          <w:marBottom w:val="0"/>
                          <w:divBdr>
                            <w:top w:val="none" w:sz="0" w:space="0" w:color="auto"/>
                            <w:left w:val="none" w:sz="0" w:space="0" w:color="auto"/>
                            <w:bottom w:val="none" w:sz="0" w:space="0" w:color="auto"/>
                            <w:right w:val="none" w:sz="0" w:space="0" w:color="auto"/>
                          </w:divBdr>
                        </w:div>
                        <w:div w:id="601377992">
                          <w:marLeft w:val="0"/>
                          <w:marRight w:val="0"/>
                          <w:marTop w:val="0"/>
                          <w:marBottom w:val="0"/>
                          <w:divBdr>
                            <w:top w:val="none" w:sz="0" w:space="0" w:color="auto"/>
                            <w:left w:val="none" w:sz="0" w:space="0" w:color="auto"/>
                            <w:bottom w:val="none" w:sz="0" w:space="0" w:color="auto"/>
                            <w:right w:val="none" w:sz="0" w:space="0" w:color="auto"/>
                          </w:divBdr>
                          <w:divsChild>
                            <w:div w:id="6727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71332">
              <w:marLeft w:val="0"/>
              <w:marRight w:val="0"/>
              <w:marTop w:val="0"/>
              <w:marBottom w:val="0"/>
              <w:divBdr>
                <w:top w:val="none" w:sz="0" w:space="0" w:color="auto"/>
                <w:left w:val="none" w:sz="0" w:space="0" w:color="auto"/>
                <w:bottom w:val="none" w:sz="0" w:space="0" w:color="auto"/>
                <w:right w:val="none" w:sz="0" w:space="0" w:color="auto"/>
              </w:divBdr>
              <w:divsChild>
                <w:div w:id="1153331367">
                  <w:marLeft w:val="0"/>
                  <w:marRight w:val="0"/>
                  <w:marTop w:val="0"/>
                  <w:marBottom w:val="0"/>
                  <w:divBdr>
                    <w:top w:val="none" w:sz="0" w:space="0" w:color="auto"/>
                    <w:left w:val="none" w:sz="0" w:space="0" w:color="auto"/>
                    <w:bottom w:val="none" w:sz="0" w:space="0" w:color="auto"/>
                    <w:right w:val="none" w:sz="0" w:space="0" w:color="auto"/>
                  </w:divBdr>
                </w:div>
                <w:div w:id="767042430">
                  <w:marLeft w:val="0"/>
                  <w:marRight w:val="0"/>
                  <w:marTop w:val="0"/>
                  <w:marBottom w:val="0"/>
                  <w:divBdr>
                    <w:top w:val="none" w:sz="0" w:space="0" w:color="auto"/>
                    <w:left w:val="none" w:sz="0" w:space="0" w:color="auto"/>
                    <w:bottom w:val="none" w:sz="0" w:space="0" w:color="auto"/>
                    <w:right w:val="none" w:sz="0" w:space="0" w:color="auto"/>
                  </w:divBdr>
                </w:div>
                <w:div w:id="775489043">
                  <w:marLeft w:val="0"/>
                  <w:marRight w:val="0"/>
                  <w:marTop w:val="0"/>
                  <w:marBottom w:val="0"/>
                  <w:divBdr>
                    <w:top w:val="none" w:sz="0" w:space="0" w:color="auto"/>
                    <w:left w:val="none" w:sz="0" w:space="0" w:color="auto"/>
                    <w:bottom w:val="none" w:sz="0" w:space="0" w:color="auto"/>
                    <w:right w:val="none" w:sz="0" w:space="0" w:color="auto"/>
                  </w:divBdr>
                </w:div>
                <w:div w:id="3516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5917">
      <w:bodyDiv w:val="1"/>
      <w:marLeft w:val="0"/>
      <w:marRight w:val="0"/>
      <w:marTop w:val="0"/>
      <w:marBottom w:val="0"/>
      <w:divBdr>
        <w:top w:val="none" w:sz="0" w:space="0" w:color="auto"/>
        <w:left w:val="none" w:sz="0" w:space="0" w:color="auto"/>
        <w:bottom w:val="none" w:sz="0" w:space="0" w:color="auto"/>
        <w:right w:val="none" w:sz="0" w:space="0" w:color="auto"/>
      </w:divBdr>
    </w:div>
    <w:div w:id="19994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GDLA\OneDrive%20-%20PHOENIX%20CONTACT%20GmbH%20&amp;%20Co.%20KG\Recruitment\JDs\Job%20Posting%20template%20for%20Heidi.dotx" TargetMode="External"/></Relationships>
</file>

<file path=word/theme/theme1.xml><?xml version="1.0" encoding="utf-8"?>
<a:theme xmlns:a="http://schemas.openxmlformats.org/drawingml/2006/main" name="PxC 1">
  <a:themeElements>
    <a:clrScheme name="PxC 1">
      <a:dk1>
        <a:sysClr val="windowText" lastClr="000000"/>
      </a:dk1>
      <a:lt1>
        <a:sysClr val="window" lastClr="FFFFFF"/>
      </a:lt1>
      <a:dk2>
        <a:srgbClr val="009999"/>
      </a:dk2>
      <a:lt2>
        <a:srgbClr val="FFFFFF"/>
      </a:lt2>
      <a:accent1>
        <a:srgbClr val="99CC00"/>
      </a:accent1>
      <a:accent2>
        <a:srgbClr val="7091A4"/>
      </a:accent2>
      <a:accent3>
        <a:srgbClr val="9ABCCB"/>
      </a:accent3>
      <a:accent4>
        <a:srgbClr val="D8E1E6"/>
      </a:accent4>
      <a:accent5>
        <a:srgbClr val="4BACC6"/>
      </a:accent5>
      <a:accent6>
        <a:srgbClr val="366092"/>
      </a:accent6>
      <a:hlink>
        <a:srgbClr val="0000FF"/>
      </a:hlink>
      <a:folHlink>
        <a:srgbClr val="800080"/>
      </a:folHlink>
    </a:clrScheme>
    <a:fontScheme name="PxC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68843b-f012-4c95-a18e-bab826cca9ac}" enabled="0" method="" siteId="{6868843b-f012-4c95-a18e-bab826cca9ac}" removed="1"/>
</clbl:labelList>
</file>

<file path=docProps/app.xml><?xml version="1.0" encoding="utf-8"?>
<Properties xmlns="http://schemas.openxmlformats.org/officeDocument/2006/extended-properties" xmlns:vt="http://schemas.openxmlformats.org/officeDocument/2006/docPropsVTypes">
  <Template>Job Posting template for Heidi</Template>
  <TotalTime>1</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QUOTATION</vt:lpstr>
    </vt:vector>
  </TitlesOfParts>
  <Company>Phoenix Contact, Inc.</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dc:title>
  <dc:creator>Ines Almeida</dc:creator>
  <cp:lastModifiedBy>Tejal Atrawalkar</cp:lastModifiedBy>
  <cp:revision>3</cp:revision>
  <cp:lastPrinted>2011-06-23T13:18:00Z</cp:lastPrinted>
  <dcterms:created xsi:type="dcterms:W3CDTF">2026-05-01T14:23:00Z</dcterms:created>
  <dcterms:modified xsi:type="dcterms:W3CDTF">2026-05-01T14:25:00Z</dcterms:modified>
</cp:coreProperties>
</file>