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8DEA" w14:textId="77777777" w:rsidR="00EA7EAD" w:rsidRPr="00EA7EAD" w:rsidRDefault="00EA7EAD" w:rsidP="00EA7EAD">
      <w:pPr>
        <w:pStyle w:val="BodyText"/>
        <w:spacing w:before="3"/>
        <w:rPr>
          <w:rFonts w:asciiTheme="minorHAnsi" w:hAnsiTheme="minorHAnsi" w:cstheme="minorHAnsi"/>
          <w:b/>
          <w:color w:val="7091A4" w:themeColor="accent2"/>
          <w:spacing w:val="-3"/>
          <w:szCs w:val="24"/>
          <w:lang w:val="fr-FR"/>
        </w:rPr>
      </w:pPr>
      <w:r w:rsidRPr="00EA7EAD">
        <w:rPr>
          <w:rFonts w:asciiTheme="minorHAnsi" w:hAnsiTheme="minorHAnsi"/>
          <w:b/>
          <w:color w:val="7091A4" w:themeColor="accent2"/>
          <w:szCs w:val="24"/>
          <w:lang w:val="fr-FR"/>
        </w:rPr>
        <w:t>À PROPOS DE L’ENTREPRISE</w:t>
      </w:r>
    </w:p>
    <w:p w14:paraId="29A908A6" w14:textId="77777777" w:rsidR="00EA7EAD" w:rsidRPr="00992ACE" w:rsidRDefault="00EA7EAD" w:rsidP="00EA7EAD">
      <w:pPr>
        <w:pStyle w:val="NormalWeb"/>
        <w:shd w:val="clear" w:color="auto" w:fill="FFFFFF"/>
        <w:spacing w:before="0" w:beforeAutospacing="0" w:after="225" w:afterAutospacing="0"/>
        <w:rPr>
          <w:rFonts w:asciiTheme="minorHAnsi" w:hAnsiTheme="minorHAnsi" w:cstheme="minorHAnsi"/>
          <w:sz w:val="22"/>
          <w:szCs w:val="22"/>
          <w:lang w:val="fr-FR"/>
        </w:rPr>
      </w:pPr>
      <w:r w:rsidRPr="00EA7EAD">
        <w:rPr>
          <w:rFonts w:asciiTheme="minorHAnsi" w:hAnsiTheme="minorHAnsi"/>
          <w:sz w:val="22"/>
          <w:szCs w:val="22"/>
          <w:lang w:val="fr-FR"/>
        </w:rPr>
        <w:t xml:space="preserve">Phoenix Contact est originaire d’Allemagne. Notre siège social est à Blomberg. Fondée à Essen en 1923, l’entreprise s’est développée au fil des ans. Comptant aujourd’hui plus d’une cinquantaine de filiales dans le monde, nous sommes véritablement une entreprise d’envergure mondiale. En collaboration avec nos clients et partenaires, nous concevons des solutions d’avenir en utilisant des technologies de connexion et d’automatisation à la pointe du progrès. Et ses solutions se trouvent partout, par exemple dans les infrastructures de transport, les filières de l’électromobilité, de l’eau propre et de l’énergie renouvelable, les réseaux d’approvisionnement intelligents ou encore la fabrication de machines et de systèmes à haut rendement énergétique. </w:t>
      </w:r>
      <w:r w:rsidRPr="00992ACE">
        <w:rPr>
          <w:rFonts w:asciiTheme="minorHAnsi" w:hAnsiTheme="minorHAnsi"/>
          <w:sz w:val="22"/>
          <w:szCs w:val="22"/>
          <w:lang w:val="fr-FR"/>
        </w:rPr>
        <w:t>Nous nous attaquons de front aux développements technologiques et aux changements de société qui en découlent. Ayant plus d’un siècle d’expérience dans le domaine de la construction de machines et de l’automatisation, nous travaillons aujourd’hui à la production intelligente de demain.</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31DD1471" w14:textId="77777777" w:rsidR="008C6D75" w:rsidRPr="008C6D75" w:rsidRDefault="008C6D75" w:rsidP="008C6D75">
      <w:pPr>
        <w:tabs>
          <w:tab w:val="left" w:pos="-720"/>
        </w:tabs>
        <w:suppressAutoHyphens/>
        <w:jc w:val="both"/>
        <w:rPr>
          <w:rFonts w:asciiTheme="minorHAnsi" w:hAnsiTheme="minorHAnsi" w:cstheme="minorHAnsi"/>
          <w:bCs/>
          <w:sz w:val="22"/>
          <w:szCs w:val="22"/>
          <w:lang w:val="fr-FR"/>
        </w:rPr>
      </w:pPr>
      <w:r w:rsidRPr="008C6D75">
        <w:rPr>
          <w:rFonts w:asciiTheme="minorHAnsi" w:hAnsiTheme="minorHAnsi" w:cstheme="minorHAnsi"/>
          <w:bCs/>
          <w:sz w:val="22"/>
          <w:szCs w:val="22"/>
          <w:lang w:val="fr-FR"/>
        </w:rPr>
        <w:t>Dans ce rôle stratégique, vous allez veiller à la performance et au rendement ainsi qu’au développement et à la réussite à long terme des partenaires de Phoenix Contact. </w:t>
      </w:r>
    </w:p>
    <w:p w14:paraId="09660194" w14:textId="77777777" w:rsidR="008C6D75" w:rsidRPr="008C6D75" w:rsidRDefault="008C6D75" w:rsidP="008C6D75">
      <w:pPr>
        <w:tabs>
          <w:tab w:val="left" w:pos="-720"/>
        </w:tabs>
        <w:suppressAutoHyphens/>
        <w:jc w:val="both"/>
        <w:rPr>
          <w:rFonts w:asciiTheme="minorHAnsi" w:hAnsiTheme="minorHAnsi" w:cstheme="minorHAnsi"/>
          <w:bCs/>
          <w:sz w:val="22"/>
          <w:szCs w:val="22"/>
          <w:lang w:val="fr-FR"/>
        </w:rPr>
      </w:pPr>
      <w:r w:rsidRPr="008C6D75">
        <w:rPr>
          <w:rFonts w:asciiTheme="minorHAnsi" w:hAnsiTheme="minorHAnsi" w:cstheme="minorHAnsi"/>
          <w:bCs/>
          <w:sz w:val="22"/>
          <w:szCs w:val="22"/>
          <w:lang w:val="fr-FR"/>
        </w:rPr>
        <w:t>Vous travaillerez en étroite collaboration avec la direction des distributeurs, les équipes de vente et les parties prenantes internes afin de générer des revenus, d'accroître les parts de marché et de renforcer les compétences des partenaires dans nos domaines technologiques fondamentaux : automatisation, connectivité, optimisation des armoires électriques et fiabilité de l'alimentation.</w:t>
      </w:r>
    </w:p>
    <w:p w14:paraId="29574C08" w14:textId="77777777" w:rsidR="008C6D75" w:rsidRPr="008C6D75" w:rsidRDefault="008C6D75" w:rsidP="008C6D75">
      <w:pPr>
        <w:tabs>
          <w:tab w:val="left" w:pos="-720"/>
        </w:tabs>
        <w:suppressAutoHyphens/>
        <w:jc w:val="both"/>
        <w:rPr>
          <w:rFonts w:asciiTheme="minorHAnsi" w:hAnsiTheme="minorHAnsi" w:cstheme="minorHAnsi"/>
          <w:bCs/>
          <w:sz w:val="22"/>
          <w:szCs w:val="22"/>
          <w:lang w:val="fr-FR"/>
        </w:rPr>
      </w:pPr>
      <w:r w:rsidRPr="008C6D75">
        <w:rPr>
          <w:rFonts w:asciiTheme="minorHAnsi" w:hAnsiTheme="minorHAnsi" w:cstheme="minorHAnsi"/>
          <w:bCs/>
          <w:sz w:val="22"/>
          <w:szCs w:val="22"/>
          <w:lang w:val="fr-FR"/>
        </w:rPr>
        <w:t>En tant que contact principal entre Phoenix Contact et ses distributeurs, vous favoriserez la collaboration, veillerez à l'alignement sur les stratégies nationales et aiderez nos partenaires à offrir une valeur ajoutée exceptionnelle à leurs clients.</w:t>
      </w:r>
    </w:p>
    <w:p w14:paraId="798E2296" w14:textId="77777777" w:rsidR="000B0608" w:rsidRPr="008C6D75" w:rsidRDefault="000B0608" w:rsidP="006F6999">
      <w:pPr>
        <w:tabs>
          <w:tab w:val="left" w:pos="-720"/>
        </w:tabs>
        <w:suppressAutoHyphens/>
        <w:jc w:val="both"/>
        <w:rPr>
          <w:rFonts w:asciiTheme="minorHAnsi" w:hAnsiTheme="minorHAnsi" w:cstheme="minorHAnsi"/>
          <w:sz w:val="22"/>
          <w:szCs w:val="22"/>
          <w:lang w:val="fr-FR" w:eastAsia="en-CA"/>
        </w:rPr>
      </w:pPr>
    </w:p>
    <w:p w14:paraId="1804E560" w14:textId="09E28585" w:rsidR="006A6A7E" w:rsidRPr="00767D64" w:rsidRDefault="00800135" w:rsidP="00767D64">
      <w:pPr>
        <w:tabs>
          <w:tab w:val="left" w:pos="-720"/>
        </w:tabs>
        <w:suppressAutoHyphens/>
        <w:spacing w:after="120" w:line="276" w:lineRule="auto"/>
        <w:rPr>
          <w:rFonts w:asciiTheme="minorHAnsi" w:hAnsiTheme="minorHAnsi" w:cstheme="minorHAnsi"/>
          <w:b/>
          <w:color w:val="7091A4" w:themeColor="accent2"/>
          <w:spacing w:val="-3"/>
          <w:szCs w:val="24"/>
          <w:lang w:val="fr-FR"/>
        </w:rPr>
      </w:pPr>
      <w:r w:rsidRPr="008C6D75">
        <w:rPr>
          <w:rFonts w:asciiTheme="minorHAnsi" w:hAnsiTheme="minorHAnsi" w:cstheme="minorHAnsi"/>
          <w:color w:val="000000"/>
          <w:sz w:val="22"/>
          <w:szCs w:val="22"/>
          <w:lang w:val="fr-FR" w:eastAsia="en-CA"/>
        </w:rPr>
        <w:br/>
      </w:r>
      <w:r w:rsidR="00767D64">
        <w:rPr>
          <w:rFonts w:asciiTheme="minorHAnsi" w:hAnsiTheme="minorHAnsi"/>
          <w:b/>
          <w:color w:val="7091A4" w:themeColor="accent2"/>
          <w:szCs w:val="24"/>
        </w:rPr>
        <w:t>RESPONSABILITÉS DU POSTE</w:t>
      </w:r>
    </w:p>
    <w:p w14:paraId="2A72E307" w14:textId="77777777" w:rsidR="006A6A7E" w:rsidRPr="00767D64"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767D64">
        <w:rPr>
          <w:rFonts w:asciiTheme="minorHAnsi" w:hAnsiTheme="minorHAnsi" w:cstheme="minorHAnsi"/>
          <w:sz w:val="22"/>
          <w:szCs w:val="22"/>
          <w:lang w:val="fr-FR" w:eastAsia="en-CA"/>
        </w:rPr>
        <w:t>Diriger l’élaboration et la mise en œuvre d’une stratégie régionale de distribution en accord avec la vision et les priorités commerciales de Phoenix Contact.</w:t>
      </w:r>
    </w:p>
    <w:p w14:paraId="2C478543"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Améliorer le rendement des distributeurs grâce à l’accompagnement, au développement des compétences et à une planification commerciale structurée.</w:t>
      </w:r>
    </w:p>
    <w:p w14:paraId="7B2BD210"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Mener à bien les initiatives visant à atteindre l’excellence opérationnelle, notamment les programmes marketing et les objectifs liés au tableau de bord des distributeurs.</w:t>
      </w:r>
    </w:p>
    <w:p w14:paraId="7AB4D302"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Organiser des réunions trimestrielles d’évaluation des activités avec les partenaires, en veillant à établir des plans d’action clairs et à assurer un suivi rigoureux.</w:t>
      </w:r>
    </w:p>
    <w:p w14:paraId="26DFA5A9"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Gérer le processus de gestion des comptes cibles afin d’aider l’équipe des ventes à convertir les occasions face à la concurrence et à développer les comptes stratégiques.</w:t>
      </w:r>
    </w:p>
    <w:p w14:paraId="5207DF72"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Collaborer avec le directeur des canaux, les directeurs des ventes, le marketing, les opérations, et les équipes techniques dans le but de fournir aux équipes les outils, la formation et les ressources dont elles ont besoin pour réussir.</w:t>
      </w:r>
    </w:p>
    <w:p w14:paraId="527B8B99"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Veiller à une utilisation optimale du système de gestion de la relation client (GRC) pour gérer les occasions, les prévisions et la communication.</w:t>
      </w:r>
    </w:p>
    <w:p w14:paraId="7A90A507" w14:textId="77777777" w:rsidR="006A6A7E" w:rsidRPr="008C6D75" w:rsidRDefault="008E726E" w:rsidP="008E726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Représenter Phoenix Contact lors d’événements organisés par les distributeurs, d’activités commerciales et de rencontres avec les clients dans toute la région.</w:t>
      </w:r>
    </w:p>
    <w:p w14:paraId="0F13EBEE" w14:textId="77777777" w:rsidR="006A6A7E" w:rsidRPr="008C6D75" w:rsidRDefault="008E726E" w:rsidP="00664C2F">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Avoir une excellente connaissance des produits, des solutions et des applications de Phoenix Contact.</w:t>
      </w:r>
    </w:p>
    <w:p w14:paraId="02ECCCF1" w14:textId="5420F2EA" w:rsidR="003656EE" w:rsidRPr="008C6D75" w:rsidRDefault="008E726E" w:rsidP="00664C2F">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Appuyer et développer les activités avec des partenaires de solutions certifiés.</w:t>
      </w:r>
    </w:p>
    <w:p w14:paraId="7D72996E" w14:textId="77777777" w:rsidR="00664C2F" w:rsidRPr="008E726E" w:rsidRDefault="00664C2F" w:rsidP="00664C2F">
      <w:pPr>
        <w:tabs>
          <w:tab w:val="left" w:pos="-720"/>
        </w:tabs>
        <w:suppressAutoHyphens/>
        <w:spacing w:after="120"/>
        <w:rPr>
          <w:rFonts w:asciiTheme="minorHAnsi" w:hAnsiTheme="minorHAnsi" w:cstheme="minorHAnsi"/>
          <w:bCs/>
          <w:sz w:val="22"/>
          <w:szCs w:val="22"/>
          <w:lang w:val="fr-FR"/>
        </w:rPr>
      </w:pPr>
    </w:p>
    <w:p w14:paraId="165407AE" w14:textId="77777777" w:rsidR="00664C2F" w:rsidRPr="008E726E" w:rsidRDefault="00664C2F" w:rsidP="00664C2F">
      <w:pPr>
        <w:tabs>
          <w:tab w:val="left" w:pos="-720"/>
        </w:tabs>
        <w:suppressAutoHyphens/>
        <w:spacing w:after="120"/>
        <w:rPr>
          <w:rFonts w:asciiTheme="minorHAnsi" w:hAnsiTheme="minorHAnsi" w:cstheme="minorHAnsi"/>
          <w:bCs/>
          <w:sz w:val="22"/>
          <w:szCs w:val="22"/>
          <w:lang w:val="fr-FR"/>
        </w:rPr>
      </w:pPr>
    </w:p>
    <w:p w14:paraId="6CF8FB6C" w14:textId="77777777" w:rsidR="009E031F" w:rsidRPr="009E031F" w:rsidRDefault="009E031F" w:rsidP="009E031F">
      <w:pPr>
        <w:tabs>
          <w:tab w:val="left" w:pos="-720"/>
        </w:tabs>
        <w:suppressAutoHyphens/>
        <w:spacing w:after="120"/>
        <w:rPr>
          <w:rFonts w:asciiTheme="minorHAnsi" w:hAnsiTheme="minorHAnsi" w:cstheme="minorHAnsi"/>
          <w:b/>
          <w:color w:val="7091A4" w:themeColor="accent2"/>
          <w:spacing w:val="-3"/>
          <w:szCs w:val="24"/>
        </w:rPr>
      </w:pPr>
      <w:r w:rsidRPr="009E031F">
        <w:rPr>
          <w:rFonts w:asciiTheme="minorHAnsi" w:hAnsiTheme="minorHAnsi"/>
          <w:b/>
          <w:color w:val="7091A4" w:themeColor="accent2"/>
          <w:szCs w:val="24"/>
        </w:rPr>
        <w:t>PROFIL RECHERCHÉ</w:t>
      </w:r>
    </w:p>
    <w:p w14:paraId="4AEC1751" w14:textId="77777777" w:rsidR="00873FFE" w:rsidRPr="009E031F"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9E031F">
        <w:rPr>
          <w:rFonts w:asciiTheme="minorHAnsi" w:hAnsiTheme="minorHAnsi" w:cstheme="minorHAnsi"/>
          <w:sz w:val="22"/>
          <w:szCs w:val="22"/>
          <w:lang w:val="fr-FR" w:eastAsia="en-CA"/>
        </w:rPr>
        <w:t>Baccalauréat ou diplôme technique en commerce, ingénierie ou dans un domaine connexe.</w:t>
      </w:r>
    </w:p>
    <w:p w14:paraId="1468C406"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Expérience dans le domaine de la distribution industrielle – indispensable pour réussir à ce poste.</w:t>
      </w:r>
    </w:p>
    <w:p w14:paraId="247E0C30"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Un sens aigu des affaires, assorti de compétences en analyse de marché, en budgétisation et en mise en œuvre stratégique.</w:t>
      </w:r>
    </w:p>
    <w:p w14:paraId="1E7EBA98"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Maîtrise des systèmes de GRC et de la suite Microsoft Office.</w:t>
      </w:r>
    </w:p>
    <w:p w14:paraId="5F283922"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Excellentes aptitudes en matière de communication, de présentation et de création de relations.</w:t>
      </w:r>
    </w:p>
    <w:p w14:paraId="4B1791C8"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Une expérience avérée en matière de collaboration entre les équipes des ventes, des produits et les équipes techniques.</w:t>
      </w:r>
    </w:p>
    <w:p w14:paraId="743A6479" w14:textId="77777777"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Capacité à s’épanouir dans un environnement dynamique et à gérer plusieurs priorités avec assurance.</w:t>
      </w:r>
    </w:p>
    <w:p w14:paraId="44EBD9B6" w14:textId="5D2875C1" w:rsidR="00873FFE" w:rsidRPr="008C6D75" w:rsidRDefault="00873FFE" w:rsidP="006A6A7E">
      <w:pPr>
        <w:pStyle w:val="ListParagraph"/>
        <w:numPr>
          <w:ilvl w:val="0"/>
          <w:numId w:val="48"/>
        </w:numPr>
        <w:tabs>
          <w:tab w:val="left" w:pos="-720"/>
        </w:tabs>
        <w:suppressAutoHyphens/>
        <w:spacing w:after="120"/>
        <w:rPr>
          <w:rFonts w:asciiTheme="minorHAnsi" w:hAnsiTheme="minorHAnsi" w:cstheme="minorHAnsi"/>
          <w:sz w:val="22"/>
          <w:szCs w:val="22"/>
          <w:lang w:val="fr-FR" w:eastAsia="en-CA"/>
        </w:rPr>
      </w:pPr>
      <w:r w:rsidRPr="008C6D75">
        <w:rPr>
          <w:rFonts w:asciiTheme="minorHAnsi" w:hAnsiTheme="minorHAnsi" w:cstheme="minorHAnsi"/>
          <w:sz w:val="22"/>
          <w:szCs w:val="22"/>
          <w:lang w:val="fr-FR" w:eastAsia="en-CA"/>
        </w:rPr>
        <w:t>Maîtrise du français et de l’anglais pour assurer le soutien des régions du Québec et des Maritimes.</w:t>
      </w:r>
    </w:p>
    <w:p w14:paraId="0C1605B5" w14:textId="77777777" w:rsidR="003656EE" w:rsidRPr="00873FFE"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lang w:val="fr-CA"/>
        </w:rPr>
      </w:pPr>
    </w:p>
    <w:p w14:paraId="59872EAA" w14:textId="77777777" w:rsidR="00E36003" w:rsidRPr="00E36003" w:rsidRDefault="00E36003" w:rsidP="00E36003">
      <w:pPr>
        <w:tabs>
          <w:tab w:val="left" w:pos="-720"/>
        </w:tabs>
        <w:suppressAutoHyphens/>
        <w:spacing w:after="120"/>
        <w:rPr>
          <w:rFonts w:asciiTheme="minorHAnsi" w:hAnsiTheme="minorHAnsi" w:cstheme="minorHAnsi"/>
          <w:b/>
          <w:color w:val="7091A4" w:themeColor="accent2"/>
          <w:spacing w:val="-3"/>
          <w:szCs w:val="24"/>
        </w:rPr>
      </w:pPr>
      <w:r w:rsidRPr="00E36003">
        <w:rPr>
          <w:rFonts w:asciiTheme="minorHAnsi" w:hAnsiTheme="minorHAnsi"/>
          <w:b/>
          <w:color w:val="7091A4" w:themeColor="accent2"/>
          <w:szCs w:val="24"/>
        </w:rPr>
        <w:t>COMPÉTENCES ET APTITUDES REQUISES</w:t>
      </w:r>
    </w:p>
    <w:p w14:paraId="70063EAA" w14:textId="1B5A8124" w:rsidR="00D21B74" w:rsidRPr="00D21B74" w:rsidRDefault="00D21B74" w:rsidP="00D21B74">
      <w:pPr>
        <w:pStyle w:val="ListParagraph"/>
        <w:widowControl w:val="0"/>
        <w:numPr>
          <w:ilvl w:val="0"/>
          <w:numId w:val="47"/>
        </w:numPr>
        <w:suppressAutoHyphens/>
        <w:overflowPunct w:val="0"/>
        <w:autoSpaceDE w:val="0"/>
        <w:autoSpaceDN w:val="0"/>
        <w:adjustRightInd w:val="0"/>
        <w:spacing w:after="120"/>
        <w:textAlignment w:val="baseline"/>
        <w:rPr>
          <w:rFonts w:asciiTheme="minorHAnsi" w:hAnsiTheme="minorHAnsi" w:cstheme="minorHAnsi"/>
          <w:bCs/>
          <w:sz w:val="22"/>
          <w:szCs w:val="22"/>
          <w:lang w:val="fr-CA"/>
        </w:rPr>
      </w:pPr>
      <w:r w:rsidRPr="00D21B74">
        <w:rPr>
          <w:rFonts w:asciiTheme="minorHAnsi" w:hAnsiTheme="minorHAnsi" w:cstheme="minorHAnsi"/>
          <w:bCs/>
          <w:sz w:val="22"/>
          <w:szCs w:val="22"/>
          <w:lang w:val="fr-CA"/>
        </w:rPr>
        <w:t>Déplacements réguliers dans la région, y compris des séjours de plusieurs jours.</w:t>
      </w:r>
    </w:p>
    <w:p w14:paraId="26957457" w14:textId="77777777" w:rsidR="00931DFF" w:rsidRDefault="00D21B74" w:rsidP="006A6A7E">
      <w:pPr>
        <w:pStyle w:val="ListParagraph"/>
        <w:widowControl w:val="0"/>
        <w:numPr>
          <w:ilvl w:val="0"/>
          <w:numId w:val="47"/>
        </w:numPr>
        <w:suppressAutoHyphens/>
        <w:overflowPunct w:val="0"/>
        <w:autoSpaceDE w:val="0"/>
        <w:autoSpaceDN w:val="0"/>
        <w:adjustRightInd w:val="0"/>
        <w:spacing w:after="120"/>
        <w:textAlignment w:val="baseline"/>
        <w:rPr>
          <w:rFonts w:asciiTheme="minorHAnsi" w:hAnsiTheme="minorHAnsi" w:cstheme="minorHAnsi"/>
          <w:bCs/>
          <w:sz w:val="22"/>
          <w:szCs w:val="22"/>
          <w:lang w:val="fr-CA"/>
        </w:rPr>
      </w:pPr>
      <w:r w:rsidRPr="00D21B74">
        <w:rPr>
          <w:rFonts w:asciiTheme="minorHAnsi" w:hAnsiTheme="minorHAnsi" w:cstheme="minorHAnsi"/>
          <w:bCs/>
          <w:sz w:val="22"/>
          <w:szCs w:val="22"/>
          <w:lang w:val="fr-CA"/>
        </w:rPr>
        <w:t>Permis de conduire valide et capacité à conduire un véhicule pendant de longues périodes.</w:t>
      </w:r>
    </w:p>
    <w:p w14:paraId="01722AAC" w14:textId="68EEA74F" w:rsidR="00D21B74" w:rsidRPr="00931DFF" w:rsidRDefault="00D21B74" w:rsidP="006A6A7E">
      <w:pPr>
        <w:pStyle w:val="ListParagraph"/>
        <w:widowControl w:val="0"/>
        <w:numPr>
          <w:ilvl w:val="0"/>
          <w:numId w:val="47"/>
        </w:numPr>
        <w:suppressAutoHyphens/>
        <w:overflowPunct w:val="0"/>
        <w:autoSpaceDE w:val="0"/>
        <w:autoSpaceDN w:val="0"/>
        <w:adjustRightInd w:val="0"/>
        <w:spacing w:after="120"/>
        <w:textAlignment w:val="baseline"/>
        <w:rPr>
          <w:rFonts w:asciiTheme="minorHAnsi" w:hAnsiTheme="minorHAnsi" w:cstheme="minorHAnsi"/>
          <w:bCs/>
          <w:sz w:val="22"/>
          <w:szCs w:val="22"/>
          <w:lang w:val="fr-CA"/>
        </w:rPr>
      </w:pPr>
      <w:r w:rsidRPr="00931DFF">
        <w:rPr>
          <w:rFonts w:asciiTheme="minorHAnsi" w:hAnsiTheme="minorHAnsi" w:cstheme="minorHAnsi"/>
          <w:bCs/>
          <w:sz w:val="22"/>
          <w:szCs w:val="22"/>
          <w:lang w:val="fr-CA"/>
        </w:rPr>
        <w:t>Participation à des réunions régionales, nationales et internationales, au besoin.</w:t>
      </w:r>
    </w:p>
    <w:p w14:paraId="1C6B998D" w14:textId="77777777" w:rsidR="006F23C4" w:rsidRPr="00D21B74" w:rsidRDefault="006F23C4" w:rsidP="006F23C4">
      <w:pPr>
        <w:spacing w:line="276" w:lineRule="auto"/>
        <w:textAlignment w:val="baseline"/>
        <w:rPr>
          <w:rFonts w:ascii="Arial" w:hAnsi="Arial" w:cs="Arial"/>
          <w:sz w:val="22"/>
          <w:szCs w:val="22"/>
          <w:lang w:val="fr-CA" w:eastAsia="en-CA"/>
        </w:rPr>
      </w:pPr>
    </w:p>
    <w:p w14:paraId="499372B6" w14:textId="77777777" w:rsidR="00162BD9" w:rsidRPr="00D21B74" w:rsidRDefault="00162BD9" w:rsidP="00AA3608">
      <w:pPr>
        <w:pStyle w:val="BodyText"/>
        <w:rPr>
          <w:rFonts w:asciiTheme="minorHAnsi" w:hAnsiTheme="minorHAnsi" w:cstheme="minorHAnsi"/>
          <w:bCs/>
          <w:sz w:val="22"/>
          <w:szCs w:val="22"/>
          <w:lang w:val="fr-FR"/>
        </w:rPr>
      </w:pPr>
    </w:p>
    <w:p w14:paraId="1406405E" w14:textId="77777777" w:rsidR="003E196C" w:rsidRPr="003E196C" w:rsidRDefault="003E196C" w:rsidP="003E196C">
      <w:pPr>
        <w:pStyle w:val="BodyText"/>
        <w:rPr>
          <w:rFonts w:asciiTheme="minorHAnsi" w:hAnsiTheme="minorHAnsi" w:cstheme="minorHAnsi"/>
          <w:bCs/>
          <w:sz w:val="22"/>
          <w:szCs w:val="22"/>
          <w:lang w:val="fr-FR"/>
        </w:rPr>
      </w:pPr>
      <w:r w:rsidRPr="003E196C">
        <w:rPr>
          <w:rFonts w:asciiTheme="minorHAnsi" w:hAnsiTheme="minorHAnsi"/>
          <w:sz w:val="22"/>
          <w:szCs w:val="22"/>
          <w:lang w:val="fr-FR"/>
        </w:rPr>
        <w:t>Les personnes intéressées peuvent répondre en toute confidentialité en envoyant leur curriculum vitæ accompagné d’un résumé de leurs réalisations au service</w:t>
      </w:r>
      <w:r w:rsidRPr="003E196C">
        <w:rPr>
          <w:rFonts w:asciiTheme="minorHAnsi" w:hAnsiTheme="minorHAnsi"/>
          <w:b/>
          <w:bCs/>
          <w:sz w:val="22"/>
          <w:szCs w:val="22"/>
          <w:lang w:val="fr-FR"/>
        </w:rPr>
        <w:t xml:space="preserve"> des ressources humaines</w:t>
      </w:r>
      <w:r w:rsidRPr="003E196C">
        <w:rPr>
          <w:rFonts w:asciiTheme="minorHAnsi" w:hAnsiTheme="minorHAnsi"/>
          <w:sz w:val="22"/>
          <w:szCs w:val="22"/>
          <w:lang w:val="fr-FR"/>
        </w:rPr>
        <w:t xml:space="preserve"> à l’adresse </w:t>
      </w:r>
      <w:r w:rsidRPr="003E196C">
        <w:rPr>
          <w:rFonts w:asciiTheme="minorHAnsi" w:hAnsiTheme="minorHAnsi"/>
          <w:b/>
          <w:bCs/>
          <w:sz w:val="22"/>
          <w:szCs w:val="22"/>
          <w:lang w:val="fr-FR"/>
        </w:rPr>
        <w:t>: pxcca-sm-hr@phoenixcontact.com</w:t>
      </w:r>
      <w:r w:rsidRPr="003E196C">
        <w:rPr>
          <w:rFonts w:asciiTheme="minorHAnsi" w:hAnsiTheme="minorHAnsi"/>
          <w:sz w:val="22"/>
          <w:szCs w:val="22"/>
          <w:lang w:val="fr-FR"/>
        </w:rPr>
        <w:t>.</w:t>
      </w:r>
    </w:p>
    <w:p w14:paraId="4EE01038" w14:textId="77777777" w:rsidR="003E196C" w:rsidRPr="003E196C" w:rsidRDefault="003E196C" w:rsidP="003E196C">
      <w:pPr>
        <w:pStyle w:val="BodyText"/>
        <w:rPr>
          <w:rFonts w:asciiTheme="minorHAnsi" w:hAnsiTheme="minorHAnsi" w:cstheme="minorHAnsi"/>
          <w:b/>
          <w:bCs/>
          <w:sz w:val="22"/>
          <w:szCs w:val="22"/>
          <w:lang w:val="fr-FR"/>
        </w:rPr>
      </w:pPr>
    </w:p>
    <w:p w14:paraId="04DB056C" w14:textId="77777777" w:rsidR="003E196C" w:rsidRPr="003E196C" w:rsidRDefault="003E196C" w:rsidP="003E196C">
      <w:pPr>
        <w:rPr>
          <w:rFonts w:asciiTheme="minorHAnsi" w:hAnsiTheme="minorHAnsi" w:cstheme="minorHAnsi"/>
          <w:b/>
          <w:bCs/>
          <w:i/>
          <w:iCs/>
          <w:sz w:val="22"/>
          <w:lang w:val="fr-FR"/>
        </w:rPr>
      </w:pPr>
      <w:r w:rsidRPr="003E196C">
        <w:rPr>
          <w:rFonts w:asciiTheme="minorHAnsi" w:hAnsiTheme="minorHAnsi"/>
          <w:b/>
          <w:bCs/>
          <w:i/>
          <w:iCs/>
          <w:color w:val="1A1A1A"/>
          <w:szCs w:val="24"/>
          <w:shd w:val="clear" w:color="auto" w:fill="FFFFFF"/>
          <w:lang w:val="fr-FR"/>
        </w:rPr>
        <w:t xml:space="preserve">Phoenix Contact </w:t>
      </w:r>
      <w:proofErr w:type="spellStart"/>
      <w:r w:rsidRPr="003E196C">
        <w:rPr>
          <w:rFonts w:asciiTheme="minorHAnsi" w:hAnsiTheme="minorHAnsi"/>
          <w:b/>
          <w:bCs/>
          <w:i/>
          <w:iCs/>
          <w:color w:val="1A1A1A"/>
          <w:szCs w:val="24"/>
          <w:shd w:val="clear" w:color="auto" w:fill="FFFFFF"/>
          <w:lang w:val="fr-FR"/>
        </w:rPr>
        <w:t>ltée</w:t>
      </w:r>
      <w:proofErr w:type="spellEnd"/>
      <w:r w:rsidRPr="003E196C">
        <w:rPr>
          <w:rFonts w:asciiTheme="minorHAnsi" w:hAnsiTheme="minorHAnsi"/>
          <w:b/>
          <w:bCs/>
          <w:i/>
          <w:iCs/>
          <w:color w:val="1A1A1A"/>
          <w:szCs w:val="24"/>
          <w:shd w:val="clear" w:color="auto" w:fill="FFFFFF"/>
          <w:lang w:val="fr-FR"/>
        </w:rPr>
        <w:t xml:space="preserve"> serait heureux de recevoir des candidatures de personnes handicapées. Des mesures d’adaptation peuvent être offertes sur demande pour les personnes qui participent à tous les aspects du processus de sélection.</w:t>
      </w:r>
    </w:p>
    <w:p w14:paraId="616BA1E0" w14:textId="77777777" w:rsidR="003E196C" w:rsidRPr="003E196C" w:rsidRDefault="003E196C" w:rsidP="003E196C">
      <w:pPr>
        <w:pStyle w:val="BodyText"/>
        <w:rPr>
          <w:rFonts w:asciiTheme="minorHAnsi" w:hAnsiTheme="minorHAnsi" w:cstheme="minorHAnsi"/>
          <w:b/>
          <w:bCs/>
          <w:sz w:val="22"/>
          <w:szCs w:val="22"/>
          <w:lang w:val="fr-FR"/>
        </w:rPr>
      </w:pPr>
    </w:p>
    <w:p w14:paraId="792DFD91" w14:textId="77777777" w:rsidR="003E196C" w:rsidRPr="003E196C" w:rsidRDefault="003E196C" w:rsidP="003E196C">
      <w:pPr>
        <w:pStyle w:val="BodyText"/>
        <w:rPr>
          <w:rFonts w:asciiTheme="minorHAnsi" w:hAnsiTheme="minorHAnsi" w:cstheme="minorHAnsi"/>
          <w:szCs w:val="24"/>
          <w:lang w:val="fr-FR"/>
        </w:rPr>
      </w:pPr>
      <w:r w:rsidRPr="003E196C">
        <w:rPr>
          <w:rFonts w:asciiTheme="minorHAnsi" w:hAnsiTheme="minorHAnsi"/>
          <w:bCs/>
          <w:sz w:val="22"/>
          <w:szCs w:val="22"/>
          <w:lang w:val="fr-FR"/>
        </w:rPr>
        <w:t>Nous sommes reconnaissants de l’intérêt que vous nous portez, mais seules les personnes retenues pour une entrevue seront contactées.</w:t>
      </w:r>
    </w:p>
    <w:p w14:paraId="6D2BBB09" w14:textId="6AE95246" w:rsidR="00C20EBF" w:rsidRPr="003E196C" w:rsidRDefault="00C20EBF" w:rsidP="003E196C">
      <w:pPr>
        <w:pStyle w:val="BodyText"/>
        <w:rPr>
          <w:rFonts w:asciiTheme="minorHAnsi" w:hAnsiTheme="minorHAnsi" w:cstheme="minorHAnsi"/>
          <w:szCs w:val="24"/>
          <w:lang w:val="fr-FR"/>
        </w:rPr>
      </w:pPr>
    </w:p>
    <w:sectPr w:rsidR="00C20EBF" w:rsidRPr="003E19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4CA" w14:textId="77777777" w:rsidR="00427971" w:rsidRDefault="00427971">
      <w:r>
        <w:separator/>
      </w:r>
    </w:p>
  </w:endnote>
  <w:endnote w:type="continuationSeparator" w:id="0">
    <w:p w14:paraId="12A0A764" w14:textId="77777777" w:rsidR="00427971" w:rsidRDefault="004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A3A4" w14:textId="77777777" w:rsidR="00427971" w:rsidRDefault="00427971">
      <w:r>
        <w:separator/>
      </w:r>
    </w:p>
  </w:footnote>
  <w:footnote w:type="continuationSeparator" w:id="0">
    <w:p w14:paraId="020A4616" w14:textId="77777777" w:rsidR="00427971" w:rsidRDefault="0042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48D3605E"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Regional Channel Manager - East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48D3605E" w:rsidR="000A0BED" w:rsidRPr="00617BC4" w:rsidRDefault="00143129" w:rsidP="00C20EBF">
                    <w:pPr>
                      <w:rPr>
                        <w:rFonts w:ascii="Arial" w:hAnsi="Arial" w:cs="Arial"/>
                        <w:b/>
                        <w:color w:val="7091A4" w:themeColor="accent2"/>
                        <w:sz w:val="36"/>
                        <w:lang w:val="en-US"/>
                      </w:rPr>
                    </w:pPr>
                    <w:r>
                      <w:rPr>
                        <w:rFonts w:ascii="Arial" w:hAnsi="Arial" w:cs="Arial"/>
                        <w:b/>
                        <w:color w:val="7091A4" w:themeColor="accent2"/>
                        <w:sz w:val="36"/>
                        <w:lang w:val="en-US"/>
                      </w:rPr>
                      <w:t>Regional Channel Manager - East</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B86237"/>
    <w:multiLevelType w:val="hybridMultilevel"/>
    <w:tmpl w:val="50A2BBFA"/>
    <w:lvl w:ilvl="0" w:tplc="47529DE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D6261B"/>
    <w:multiLevelType w:val="hybridMultilevel"/>
    <w:tmpl w:val="18AE4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A404791"/>
    <w:multiLevelType w:val="hybridMultilevel"/>
    <w:tmpl w:val="77DA6CF8"/>
    <w:lvl w:ilvl="0" w:tplc="47529DE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F95F39"/>
    <w:multiLevelType w:val="hybridMultilevel"/>
    <w:tmpl w:val="D018B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A5E4F"/>
    <w:multiLevelType w:val="hybridMultilevel"/>
    <w:tmpl w:val="388E1872"/>
    <w:lvl w:ilvl="0" w:tplc="47529DE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5"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5"/>
  </w:num>
  <w:num w:numId="4" w16cid:durableId="699815582">
    <w:abstractNumId w:val="8"/>
  </w:num>
  <w:num w:numId="5" w16cid:durableId="1510440819">
    <w:abstractNumId w:val="38"/>
  </w:num>
  <w:num w:numId="6" w16cid:durableId="840588376">
    <w:abstractNumId w:val="28"/>
  </w:num>
  <w:num w:numId="7" w16cid:durableId="1006445858">
    <w:abstractNumId w:val="12"/>
  </w:num>
  <w:num w:numId="8" w16cid:durableId="414516295">
    <w:abstractNumId w:val="5"/>
  </w:num>
  <w:num w:numId="9" w16cid:durableId="1129712966">
    <w:abstractNumId w:val="41"/>
  </w:num>
  <w:num w:numId="10" w16cid:durableId="1187134772">
    <w:abstractNumId w:val="24"/>
  </w:num>
  <w:num w:numId="11" w16cid:durableId="355276931">
    <w:abstractNumId w:val="44"/>
  </w:num>
  <w:num w:numId="12" w16cid:durableId="1776173543">
    <w:abstractNumId w:val="30"/>
  </w:num>
  <w:num w:numId="13" w16cid:durableId="1840585298">
    <w:abstractNumId w:val="20"/>
  </w:num>
  <w:num w:numId="14" w16cid:durableId="1967931441">
    <w:abstractNumId w:val="43"/>
  </w:num>
  <w:num w:numId="15" w16cid:durableId="1827016390">
    <w:abstractNumId w:val="21"/>
  </w:num>
  <w:num w:numId="16" w16cid:durableId="1705061821">
    <w:abstractNumId w:val="0"/>
  </w:num>
  <w:num w:numId="17" w16cid:durableId="428425998">
    <w:abstractNumId w:val="9"/>
  </w:num>
  <w:num w:numId="18" w16cid:durableId="403995615">
    <w:abstractNumId w:val="31"/>
  </w:num>
  <w:num w:numId="19" w16cid:durableId="1887449337">
    <w:abstractNumId w:val="11"/>
  </w:num>
  <w:num w:numId="20" w16cid:durableId="1512644441">
    <w:abstractNumId w:val="32"/>
  </w:num>
  <w:num w:numId="21" w16cid:durableId="926622148">
    <w:abstractNumId w:val="1"/>
  </w:num>
  <w:num w:numId="22" w16cid:durableId="1768768967">
    <w:abstractNumId w:val="14"/>
  </w:num>
  <w:num w:numId="23" w16cid:durableId="423693636">
    <w:abstractNumId w:val="4"/>
  </w:num>
  <w:num w:numId="24" w16cid:durableId="1566254967">
    <w:abstractNumId w:val="47"/>
  </w:num>
  <w:num w:numId="25" w16cid:durableId="1540119364">
    <w:abstractNumId w:val="6"/>
  </w:num>
  <w:num w:numId="26" w16cid:durableId="843932525">
    <w:abstractNumId w:val="45"/>
  </w:num>
  <w:num w:numId="27" w16cid:durableId="1897889088">
    <w:abstractNumId w:val="33"/>
  </w:num>
  <w:num w:numId="28" w16cid:durableId="1092356409">
    <w:abstractNumId w:val="2"/>
  </w:num>
  <w:num w:numId="29" w16cid:durableId="754473297">
    <w:abstractNumId w:val="25"/>
  </w:num>
  <w:num w:numId="30" w16cid:durableId="1241988198">
    <w:abstractNumId w:val="39"/>
  </w:num>
  <w:num w:numId="31" w16cid:durableId="1014575894">
    <w:abstractNumId w:val="16"/>
  </w:num>
  <w:num w:numId="32" w16cid:durableId="1778134077">
    <w:abstractNumId w:val="17"/>
  </w:num>
  <w:num w:numId="33" w16cid:durableId="594827599">
    <w:abstractNumId w:val="37"/>
  </w:num>
  <w:num w:numId="34" w16cid:durableId="1622683248">
    <w:abstractNumId w:val="18"/>
  </w:num>
  <w:num w:numId="35" w16cid:durableId="1086997821">
    <w:abstractNumId w:val="46"/>
  </w:num>
  <w:num w:numId="36" w16cid:durableId="1842741805">
    <w:abstractNumId w:val="42"/>
  </w:num>
  <w:num w:numId="37" w16cid:durableId="16587525">
    <w:abstractNumId w:val="19"/>
  </w:num>
  <w:num w:numId="38" w16cid:durableId="1962615918">
    <w:abstractNumId w:val="3"/>
  </w:num>
  <w:num w:numId="39" w16cid:durableId="200288385">
    <w:abstractNumId w:val="10"/>
  </w:num>
  <w:num w:numId="40" w16cid:durableId="1203665936">
    <w:abstractNumId w:val="26"/>
  </w:num>
  <w:num w:numId="41" w16cid:durableId="441148145">
    <w:abstractNumId w:val="7"/>
  </w:num>
  <w:num w:numId="42" w16cid:durableId="213079720">
    <w:abstractNumId w:val="29"/>
  </w:num>
  <w:num w:numId="43" w16cid:durableId="411316217">
    <w:abstractNumId w:val="36"/>
  </w:num>
  <w:num w:numId="44" w16cid:durableId="1200434039">
    <w:abstractNumId w:val="23"/>
  </w:num>
  <w:num w:numId="45" w16cid:durableId="2002344661">
    <w:abstractNumId w:val="34"/>
  </w:num>
  <w:num w:numId="46" w16cid:durableId="1874228874">
    <w:abstractNumId w:val="40"/>
  </w:num>
  <w:num w:numId="47" w16cid:durableId="1599482140">
    <w:abstractNumId w:val="27"/>
  </w:num>
  <w:num w:numId="48" w16cid:durableId="3251367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317B"/>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43129"/>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2F2F41"/>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196C"/>
    <w:rsid w:val="003E4C93"/>
    <w:rsid w:val="003E4D14"/>
    <w:rsid w:val="003E4D6C"/>
    <w:rsid w:val="003E6876"/>
    <w:rsid w:val="0040041B"/>
    <w:rsid w:val="00410F34"/>
    <w:rsid w:val="004155B3"/>
    <w:rsid w:val="00421528"/>
    <w:rsid w:val="00427971"/>
    <w:rsid w:val="00432796"/>
    <w:rsid w:val="00437D13"/>
    <w:rsid w:val="004422F1"/>
    <w:rsid w:val="0044640D"/>
    <w:rsid w:val="004604C6"/>
    <w:rsid w:val="004769D4"/>
    <w:rsid w:val="00480CFA"/>
    <w:rsid w:val="00490650"/>
    <w:rsid w:val="004B2845"/>
    <w:rsid w:val="004C19BA"/>
    <w:rsid w:val="004D0F3A"/>
    <w:rsid w:val="004E5D72"/>
    <w:rsid w:val="004F4D31"/>
    <w:rsid w:val="004F4E46"/>
    <w:rsid w:val="005032E3"/>
    <w:rsid w:val="0051132A"/>
    <w:rsid w:val="005135D3"/>
    <w:rsid w:val="00516E72"/>
    <w:rsid w:val="005171C5"/>
    <w:rsid w:val="00531A23"/>
    <w:rsid w:val="00534D3F"/>
    <w:rsid w:val="00535649"/>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0753E"/>
    <w:rsid w:val="006157DE"/>
    <w:rsid w:val="006175C7"/>
    <w:rsid w:val="00617BC4"/>
    <w:rsid w:val="0062356D"/>
    <w:rsid w:val="00624042"/>
    <w:rsid w:val="006339A0"/>
    <w:rsid w:val="006437AA"/>
    <w:rsid w:val="0065061F"/>
    <w:rsid w:val="00653D94"/>
    <w:rsid w:val="00655B2D"/>
    <w:rsid w:val="00655B32"/>
    <w:rsid w:val="006606D0"/>
    <w:rsid w:val="00664C2F"/>
    <w:rsid w:val="006651E6"/>
    <w:rsid w:val="006827FE"/>
    <w:rsid w:val="00684522"/>
    <w:rsid w:val="00687998"/>
    <w:rsid w:val="00693428"/>
    <w:rsid w:val="006A56E2"/>
    <w:rsid w:val="006A6A7E"/>
    <w:rsid w:val="006B7847"/>
    <w:rsid w:val="006B7BB9"/>
    <w:rsid w:val="006C4196"/>
    <w:rsid w:val="006C5DC0"/>
    <w:rsid w:val="006E13FE"/>
    <w:rsid w:val="006E41DF"/>
    <w:rsid w:val="006E5D03"/>
    <w:rsid w:val="006F23C4"/>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67D64"/>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73FFE"/>
    <w:rsid w:val="008945AA"/>
    <w:rsid w:val="00894B5C"/>
    <w:rsid w:val="00894D2B"/>
    <w:rsid w:val="00897ECE"/>
    <w:rsid w:val="008A7FD7"/>
    <w:rsid w:val="008B1299"/>
    <w:rsid w:val="008B3A99"/>
    <w:rsid w:val="008B3D82"/>
    <w:rsid w:val="008B64B4"/>
    <w:rsid w:val="008C6D75"/>
    <w:rsid w:val="008E3976"/>
    <w:rsid w:val="008E3FD2"/>
    <w:rsid w:val="008E6EEA"/>
    <w:rsid w:val="008E726E"/>
    <w:rsid w:val="008F2D87"/>
    <w:rsid w:val="00902562"/>
    <w:rsid w:val="00904DE9"/>
    <w:rsid w:val="00906D6D"/>
    <w:rsid w:val="0090719B"/>
    <w:rsid w:val="00907E6D"/>
    <w:rsid w:val="00923496"/>
    <w:rsid w:val="00923E94"/>
    <w:rsid w:val="0093168F"/>
    <w:rsid w:val="00931DFF"/>
    <w:rsid w:val="00936650"/>
    <w:rsid w:val="00945369"/>
    <w:rsid w:val="00963015"/>
    <w:rsid w:val="00966D9D"/>
    <w:rsid w:val="00967645"/>
    <w:rsid w:val="0097157B"/>
    <w:rsid w:val="00984BD7"/>
    <w:rsid w:val="00986FFB"/>
    <w:rsid w:val="00991E03"/>
    <w:rsid w:val="00992ACE"/>
    <w:rsid w:val="00994688"/>
    <w:rsid w:val="009946C2"/>
    <w:rsid w:val="00994A90"/>
    <w:rsid w:val="009968ED"/>
    <w:rsid w:val="00997968"/>
    <w:rsid w:val="009A3CCD"/>
    <w:rsid w:val="009C2E5B"/>
    <w:rsid w:val="009C3629"/>
    <w:rsid w:val="009D00F1"/>
    <w:rsid w:val="009D7D04"/>
    <w:rsid w:val="009E031F"/>
    <w:rsid w:val="009E1894"/>
    <w:rsid w:val="009E399B"/>
    <w:rsid w:val="009E6E37"/>
    <w:rsid w:val="009F0376"/>
    <w:rsid w:val="009F6736"/>
    <w:rsid w:val="009F7602"/>
    <w:rsid w:val="00A001D8"/>
    <w:rsid w:val="00A03220"/>
    <w:rsid w:val="00A118D1"/>
    <w:rsid w:val="00A12369"/>
    <w:rsid w:val="00A14FC3"/>
    <w:rsid w:val="00A160F6"/>
    <w:rsid w:val="00A25DB3"/>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4F6"/>
    <w:rsid w:val="00BB09A2"/>
    <w:rsid w:val="00BB2ADD"/>
    <w:rsid w:val="00BC3015"/>
    <w:rsid w:val="00BD11A0"/>
    <w:rsid w:val="00BD1588"/>
    <w:rsid w:val="00BE01E3"/>
    <w:rsid w:val="00BE4CDD"/>
    <w:rsid w:val="00C0189B"/>
    <w:rsid w:val="00C02C9C"/>
    <w:rsid w:val="00C048AC"/>
    <w:rsid w:val="00C20EBF"/>
    <w:rsid w:val="00C375BA"/>
    <w:rsid w:val="00C43AC7"/>
    <w:rsid w:val="00C50CAB"/>
    <w:rsid w:val="00C72B91"/>
    <w:rsid w:val="00C743AC"/>
    <w:rsid w:val="00C801F3"/>
    <w:rsid w:val="00C836BC"/>
    <w:rsid w:val="00CD2F71"/>
    <w:rsid w:val="00CE0422"/>
    <w:rsid w:val="00CE115F"/>
    <w:rsid w:val="00CE155F"/>
    <w:rsid w:val="00CE6CE9"/>
    <w:rsid w:val="00CF0ADA"/>
    <w:rsid w:val="00CF4045"/>
    <w:rsid w:val="00CF7B4A"/>
    <w:rsid w:val="00D070A8"/>
    <w:rsid w:val="00D07420"/>
    <w:rsid w:val="00D11AC2"/>
    <w:rsid w:val="00D15A74"/>
    <w:rsid w:val="00D21B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36003"/>
    <w:rsid w:val="00E4616D"/>
    <w:rsid w:val="00E51B30"/>
    <w:rsid w:val="00E579D3"/>
    <w:rsid w:val="00E73A5A"/>
    <w:rsid w:val="00E74391"/>
    <w:rsid w:val="00E75624"/>
    <w:rsid w:val="00E83C15"/>
    <w:rsid w:val="00E94111"/>
    <w:rsid w:val="00EA7EAD"/>
    <w:rsid w:val="00EB0947"/>
    <w:rsid w:val="00EC5D86"/>
    <w:rsid w:val="00EC7EEC"/>
    <w:rsid w:val="00ED484D"/>
    <w:rsid w:val="00EE1327"/>
    <w:rsid w:val="00EE1E89"/>
    <w:rsid w:val="00EF24C4"/>
    <w:rsid w:val="00EF3750"/>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10</TotalTime>
  <Pages>2</Pages>
  <Words>735</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17</cp:revision>
  <cp:lastPrinted>2011-06-23T13:18:00Z</cp:lastPrinted>
  <dcterms:created xsi:type="dcterms:W3CDTF">2026-05-01T13:39:00Z</dcterms:created>
  <dcterms:modified xsi:type="dcterms:W3CDTF">2026-05-01T14:20:00Z</dcterms:modified>
</cp:coreProperties>
</file>